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7896" w14:textId="496CAA05" w:rsidR="006552A2" w:rsidRPr="00F1372A" w:rsidRDefault="006552A2" w:rsidP="00777E56">
      <w:pPr>
        <w:spacing w:after="60"/>
        <w:ind w:left="-907" w:right="-1080"/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Eligibility:  1</w:t>
      </w:r>
      <w:r w:rsidRPr="00481D93">
        <w:rPr>
          <w:rFonts w:ascii="Arial" w:eastAsiaTheme="minorHAnsi" w:hAnsi="Arial" w:cs="Arial"/>
          <w:sz w:val="22"/>
          <w:szCs w:val="22"/>
          <w:vertAlign w:val="superscript"/>
        </w:rPr>
        <w:t>st</w:t>
      </w:r>
      <w:r>
        <w:rPr>
          <w:rFonts w:ascii="Arial" w:eastAsiaTheme="minorHAnsi" w:hAnsi="Arial" w:cs="Arial"/>
          <w:sz w:val="22"/>
          <w:szCs w:val="22"/>
        </w:rPr>
        <w:t xml:space="preserve"> of the month after 30 days of service for those who average 30 or more hours worked per week</w:t>
      </w:r>
    </w:p>
    <w:tbl>
      <w:tblPr>
        <w:tblpPr w:leftFromText="180" w:rightFromText="180" w:vertAnchor="text" w:horzAnchor="margin" w:tblpXSpec="center" w:tblpY="151"/>
        <w:tblW w:w="10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2"/>
        <w:gridCol w:w="7920"/>
      </w:tblGrid>
      <w:tr w:rsidR="00777E56" w14:paraId="54060608" w14:textId="77777777" w:rsidTr="002B3F41">
        <w:trPr>
          <w:trHeight w:val="2142"/>
        </w:trPr>
        <w:tc>
          <w:tcPr>
            <w:tcW w:w="2692" w:type="dxa"/>
          </w:tcPr>
          <w:p w14:paraId="32A476FA" w14:textId="62997544" w:rsidR="006552A2" w:rsidRPr="007A4E6A" w:rsidRDefault="006552A2" w:rsidP="00612C68">
            <w:pPr>
              <w:keepNext/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sz w:val="20"/>
                <w:szCs w:val="20"/>
              </w:rPr>
              <w:t>Medical</w:t>
            </w:r>
          </w:p>
          <w:p w14:paraId="40390681" w14:textId="77777777" w:rsidR="00B52BFB" w:rsidRPr="006651F4" w:rsidRDefault="00B52BFB" w:rsidP="00612C68">
            <w:pPr>
              <w:keepNext/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01740F2" w14:textId="22F5AA4E" w:rsidR="006552A2" w:rsidRPr="007A4E6A" w:rsidRDefault="003126D8" w:rsidP="00612C68">
            <w:pPr>
              <w:keepNext/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BC/BS Anthem</w:t>
            </w:r>
            <w:r w:rsidR="006552A2" w:rsidRPr="007A4E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E5AD2F" w14:textId="63EE6DD2" w:rsidR="00BF4428" w:rsidRPr="006651F4" w:rsidRDefault="00BF4428" w:rsidP="00D111AD">
            <w:pPr>
              <w:keepNext/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20" w:type="dxa"/>
          </w:tcPr>
          <w:p w14:paraId="403188F0" w14:textId="7D6CE28E" w:rsidR="006552A2" w:rsidRPr="007A4E6A" w:rsidRDefault="009F263B" w:rsidP="00956800">
            <w:pPr>
              <w:pStyle w:val="ListParagraph"/>
              <w:keepLines/>
              <w:numPr>
                <w:ilvl w:val="0"/>
                <w:numId w:val="37"/>
              </w:numPr>
              <w:tabs>
                <w:tab w:val="clear" w:pos="360"/>
                <w:tab w:val="left" w:pos="-720"/>
              </w:tabs>
              <w:suppressAutoHyphens/>
              <w:spacing w:before="80" w:after="40"/>
              <w:ind w:left="201" w:hanging="187"/>
              <w:contextualSpacing w:val="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Two plan options:  1) </w:t>
            </w:r>
            <w:r w:rsidR="003126D8">
              <w:rPr>
                <w:rFonts w:ascii="Arial" w:hAnsi="Arial" w:cs="Arial"/>
                <w:spacing w:val="-3"/>
                <w:sz w:val="20"/>
                <w:szCs w:val="20"/>
              </w:rPr>
              <w:t>Point-of-Service (POS) –</w:t>
            </w:r>
            <w:r w:rsidR="008E4BF9" w:rsidRPr="007A4E6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126D8">
              <w:rPr>
                <w:rFonts w:ascii="Arial" w:hAnsi="Arial" w:cs="Arial"/>
                <w:spacing w:val="-3"/>
                <w:sz w:val="20"/>
                <w:szCs w:val="20"/>
              </w:rPr>
              <w:t xml:space="preserve">within WI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and 2) Preferred Provider Organization (PPO) for those outside of </w:t>
            </w:r>
            <w:r w:rsidR="003126D8">
              <w:rPr>
                <w:rFonts w:ascii="Arial" w:hAnsi="Arial" w:cs="Arial"/>
                <w:spacing w:val="-3"/>
                <w:sz w:val="20"/>
                <w:szCs w:val="20"/>
              </w:rPr>
              <w:t>WI</w:t>
            </w:r>
            <w:r w:rsidR="0081143A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14:paraId="6F24DF75" w14:textId="01304C8F" w:rsidR="008E4BF9" w:rsidRPr="007A4E6A" w:rsidRDefault="008E4BF9" w:rsidP="00956800">
            <w:pPr>
              <w:pStyle w:val="ListParagraph"/>
              <w:keepLines/>
              <w:numPr>
                <w:ilvl w:val="0"/>
                <w:numId w:val="37"/>
              </w:numPr>
              <w:tabs>
                <w:tab w:val="clear" w:pos="360"/>
                <w:tab w:val="left" w:pos="-720"/>
              </w:tabs>
              <w:suppressAutoHyphens/>
              <w:spacing w:after="40"/>
              <w:ind w:left="201" w:hanging="187"/>
              <w:contextualSpacing w:val="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A4E6A">
              <w:rPr>
                <w:rFonts w:ascii="Arial" w:hAnsi="Arial" w:cs="Arial"/>
                <w:spacing w:val="-3"/>
                <w:sz w:val="20"/>
                <w:szCs w:val="20"/>
              </w:rPr>
              <w:t>$</w:t>
            </w:r>
            <w:r w:rsidR="003126D8"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  <w:r w:rsidR="00343CA8">
              <w:rPr>
                <w:rFonts w:ascii="Arial" w:hAnsi="Arial" w:cs="Arial"/>
                <w:spacing w:val="-3"/>
                <w:sz w:val="20"/>
                <w:szCs w:val="20"/>
              </w:rPr>
              <w:t>0</w:t>
            </w:r>
            <w:r w:rsidRPr="007A4E6A">
              <w:rPr>
                <w:rFonts w:ascii="Arial" w:hAnsi="Arial" w:cs="Arial"/>
                <w:spacing w:val="-3"/>
                <w:sz w:val="20"/>
                <w:szCs w:val="20"/>
              </w:rPr>
              <w:t xml:space="preserve"> primary office visit / $</w:t>
            </w:r>
            <w:r w:rsidR="003126D8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Pr="007A4E6A">
              <w:rPr>
                <w:rFonts w:ascii="Arial" w:hAnsi="Arial" w:cs="Arial"/>
                <w:spacing w:val="-3"/>
                <w:sz w:val="20"/>
                <w:szCs w:val="20"/>
              </w:rPr>
              <w:t>0 specialist</w:t>
            </w:r>
            <w:r w:rsidR="00C62EFD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Pr="007A4E6A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14:paraId="5E335089" w14:textId="77777777" w:rsidR="003126D8" w:rsidRDefault="006552A2" w:rsidP="00956800">
            <w:pPr>
              <w:pStyle w:val="ListParagraph"/>
              <w:keepLines/>
              <w:numPr>
                <w:ilvl w:val="0"/>
                <w:numId w:val="37"/>
              </w:numPr>
              <w:tabs>
                <w:tab w:val="clear" w:pos="360"/>
                <w:tab w:val="left" w:pos="-720"/>
              </w:tabs>
              <w:suppressAutoHyphens/>
              <w:spacing w:after="40"/>
              <w:ind w:left="201" w:hanging="187"/>
              <w:contextualSpacing w:val="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A4E6A">
              <w:rPr>
                <w:rFonts w:ascii="Arial" w:hAnsi="Arial" w:cs="Arial"/>
                <w:spacing w:val="-3"/>
                <w:sz w:val="20"/>
                <w:szCs w:val="20"/>
              </w:rPr>
              <w:t>Deductible: $</w:t>
            </w:r>
            <w:r w:rsidR="003126D8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  <w:r w:rsidRPr="007A4E6A">
              <w:rPr>
                <w:rFonts w:ascii="Arial" w:hAnsi="Arial" w:cs="Arial"/>
                <w:spacing w:val="-3"/>
                <w:sz w:val="20"/>
                <w:szCs w:val="20"/>
              </w:rPr>
              <w:t>00 Single/$1</w:t>
            </w:r>
            <w:r w:rsidR="003126D8">
              <w:rPr>
                <w:rFonts w:ascii="Arial" w:hAnsi="Arial" w:cs="Arial"/>
                <w:spacing w:val="-3"/>
                <w:sz w:val="20"/>
                <w:szCs w:val="20"/>
              </w:rPr>
              <w:t>0</w:t>
            </w:r>
            <w:r w:rsidRPr="007A4E6A">
              <w:rPr>
                <w:rFonts w:ascii="Arial" w:hAnsi="Arial" w:cs="Arial"/>
                <w:spacing w:val="-3"/>
                <w:sz w:val="20"/>
                <w:szCs w:val="20"/>
              </w:rPr>
              <w:t>00 Family</w:t>
            </w:r>
          </w:p>
          <w:p w14:paraId="5B13BA1C" w14:textId="2FC0B960" w:rsidR="006552A2" w:rsidRPr="007A4E6A" w:rsidRDefault="003126D8" w:rsidP="00956800">
            <w:pPr>
              <w:pStyle w:val="ListParagraph"/>
              <w:keepLines/>
              <w:numPr>
                <w:ilvl w:val="0"/>
                <w:numId w:val="37"/>
              </w:numPr>
              <w:tabs>
                <w:tab w:val="clear" w:pos="360"/>
                <w:tab w:val="left" w:pos="-720"/>
              </w:tabs>
              <w:suppressAutoHyphens/>
              <w:spacing w:after="40"/>
              <w:ind w:left="201" w:hanging="187"/>
              <w:contextualSpacing w:val="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Out-of-Pocket max: $3,000/$6,000</w:t>
            </w:r>
          </w:p>
          <w:p w14:paraId="337EFF4A" w14:textId="20716615" w:rsidR="008E4BF9" w:rsidRPr="007A4E6A" w:rsidRDefault="008E4BF9" w:rsidP="00956800">
            <w:pPr>
              <w:pStyle w:val="ListParagraph"/>
              <w:keepLines/>
              <w:numPr>
                <w:ilvl w:val="0"/>
                <w:numId w:val="37"/>
              </w:numPr>
              <w:tabs>
                <w:tab w:val="clear" w:pos="360"/>
                <w:tab w:val="left" w:pos="-720"/>
              </w:tabs>
              <w:suppressAutoHyphens/>
              <w:spacing w:after="40"/>
              <w:ind w:left="201" w:hanging="187"/>
              <w:contextualSpacing w:val="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A4E6A">
              <w:rPr>
                <w:rFonts w:ascii="Arial" w:hAnsi="Arial" w:cs="Arial"/>
                <w:spacing w:val="-3"/>
                <w:sz w:val="20"/>
                <w:szCs w:val="20"/>
              </w:rPr>
              <w:t>Emergency room $</w:t>
            </w:r>
            <w:r w:rsidR="003126D8">
              <w:rPr>
                <w:rFonts w:ascii="Arial" w:hAnsi="Arial" w:cs="Arial"/>
                <w:spacing w:val="-3"/>
                <w:sz w:val="20"/>
                <w:szCs w:val="20"/>
              </w:rPr>
              <w:t>500</w:t>
            </w:r>
            <w:r w:rsidRPr="007A4E6A">
              <w:rPr>
                <w:rFonts w:ascii="Arial" w:hAnsi="Arial" w:cs="Arial"/>
                <w:spacing w:val="-3"/>
                <w:sz w:val="20"/>
                <w:szCs w:val="20"/>
              </w:rPr>
              <w:t xml:space="preserve"> (waiver provision); Urgent Care $</w:t>
            </w:r>
            <w:r w:rsidR="003126D8">
              <w:rPr>
                <w:rFonts w:ascii="Arial" w:hAnsi="Arial" w:cs="Arial"/>
                <w:spacing w:val="-3"/>
                <w:sz w:val="20"/>
                <w:szCs w:val="20"/>
              </w:rPr>
              <w:t>100</w:t>
            </w:r>
            <w:r w:rsidR="00C62EFD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14:paraId="21AEB476" w14:textId="3F5CB9E6" w:rsidR="006552A2" w:rsidRPr="007A4E6A" w:rsidRDefault="006552A2" w:rsidP="00956800">
            <w:pPr>
              <w:pStyle w:val="ListParagraph"/>
              <w:keepLines/>
              <w:numPr>
                <w:ilvl w:val="0"/>
                <w:numId w:val="37"/>
              </w:numPr>
              <w:tabs>
                <w:tab w:val="clear" w:pos="360"/>
                <w:tab w:val="left" w:pos="-720"/>
              </w:tabs>
              <w:suppressAutoHyphens/>
              <w:spacing w:after="40"/>
              <w:ind w:left="201" w:hanging="18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E6A">
              <w:rPr>
                <w:rFonts w:ascii="Arial" w:hAnsi="Arial" w:cs="Arial"/>
                <w:bCs/>
                <w:sz w:val="20"/>
                <w:szCs w:val="20"/>
              </w:rPr>
              <w:t>Prescrip</w:t>
            </w:r>
            <w:r w:rsidR="00343CA8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7A4E6A">
              <w:rPr>
                <w:rFonts w:ascii="Arial" w:hAnsi="Arial" w:cs="Arial"/>
                <w:bCs/>
                <w:sz w:val="20"/>
                <w:szCs w:val="20"/>
              </w:rPr>
              <w:t xml:space="preserve"> Drug: </w:t>
            </w:r>
            <w:r w:rsidRPr="007A4E6A">
              <w:rPr>
                <w:rFonts w:ascii="Arial" w:hAnsi="Arial" w:cs="Arial"/>
                <w:sz w:val="20"/>
                <w:szCs w:val="20"/>
              </w:rPr>
              <w:t>Tier1 = $</w:t>
            </w:r>
            <w:r w:rsidR="003126D8">
              <w:rPr>
                <w:rFonts w:ascii="Arial" w:hAnsi="Arial" w:cs="Arial"/>
                <w:sz w:val="20"/>
                <w:szCs w:val="20"/>
              </w:rPr>
              <w:t>1</w:t>
            </w:r>
            <w:r w:rsidRPr="007A4E6A">
              <w:rPr>
                <w:rFonts w:ascii="Arial" w:hAnsi="Arial" w:cs="Arial"/>
                <w:sz w:val="20"/>
                <w:szCs w:val="20"/>
              </w:rPr>
              <w:t>0 copay/Tier2 = $</w:t>
            </w:r>
            <w:r w:rsidR="003126D8">
              <w:rPr>
                <w:rFonts w:ascii="Arial" w:hAnsi="Arial" w:cs="Arial"/>
                <w:sz w:val="20"/>
                <w:szCs w:val="20"/>
              </w:rPr>
              <w:t>5</w:t>
            </w:r>
            <w:r w:rsidRPr="007A4E6A">
              <w:rPr>
                <w:rFonts w:ascii="Arial" w:hAnsi="Arial" w:cs="Arial"/>
                <w:sz w:val="20"/>
                <w:szCs w:val="20"/>
              </w:rPr>
              <w:t>0 copay/Tier3 = $</w:t>
            </w:r>
            <w:r w:rsidR="003126D8">
              <w:rPr>
                <w:rFonts w:ascii="Arial" w:hAnsi="Arial" w:cs="Arial"/>
                <w:sz w:val="20"/>
                <w:szCs w:val="20"/>
              </w:rPr>
              <w:t>8</w:t>
            </w:r>
            <w:r w:rsidRPr="007A4E6A">
              <w:rPr>
                <w:rFonts w:ascii="Arial" w:hAnsi="Arial" w:cs="Arial"/>
                <w:sz w:val="20"/>
                <w:szCs w:val="20"/>
              </w:rPr>
              <w:t>0 copay</w:t>
            </w:r>
            <w:r w:rsidR="00343CA8">
              <w:rPr>
                <w:rFonts w:ascii="Arial" w:hAnsi="Arial" w:cs="Arial"/>
                <w:sz w:val="20"/>
                <w:szCs w:val="20"/>
              </w:rPr>
              <w:t>/Tier4 = $</w:t>
            </w:r>
            <w:r w:rsidR="003126D8">
              <w:rPr>
                <w:rFonts w:ascii="Arial" w:hAnsi="Arial" w:cs="Arial"/>
                <w:sz w:val="20"/>
                <w:szCs w:val="20"/>
              </w:rPr>
              <w:t>4</w:t>
            </w:r>
            <w:r w:rsidR="00343CA8">
              <w:rPr>
                <w:rFonts w:ascii="Arial" w:hAnsi="Arial" w:cs="Arial"/>
                <w:sz w:val="20"/>
                <w:szCs w:val="20"/>
              </w:rPr>
              <w:t>00</w:t>
            </w:r>
            <w:r w:rsidR="00C62EF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FE1A52" w14:textId="486D42C8" w:rsidR="00BF4428" w:rsidRPr="007A4E6A" w:rsidRDefault="00BF4428" w:rsidP="00956800">
            <w:pPr>
              <w:numPr>
                <w:ilvl w:val="0"/>
                <w:numId w:val="37"/>
              </w:numPr>
              <w:tabs>
                <w:tab w:val="clear" w:pos="360"/>
              </w:tabs>
              <w:spacing w:after="40"/>
              <w:ind w:left="201" w:hanging="187"/>
              <w:rPr>
                <w:rFonts w:ascii="Arial" w:eastAsiaTheme="minorHAnsi" w:hAnsi="Arial" w:cs="Arial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Continental contributes 8</w:t>
            </w:r>
            <w:r w:rsidR="003126D8">
              <w:rPr>
                <w:rFonts w:ascii="Arial" w:eastAsiaTheme="minorHAnsi" w:hAnsi="Arial" w:cs="Arial"/>
                <w:sz w:val="20"/>
                <w:szCs w:val="20"/>
              </w:rPr>
              <w:t>1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% of the premium</w:t>
            </w:r>
            <w:r w:rsidR="00343CA8">
              <w:rPr>
                <w:rFonts w:ascii="Arial" w:eastAsiaTheme="minorHAnsi" w:hAnsi="Arial" w:cs="Arial"/>
                <w:sz w:val="20"/>
                <w:szCs w:val="20"/>
              </w:rPr>
              <w:t xml:space="preserve"> (EE) and 6</w:t>
            </w:r>
            <w:r w:rsidR="003126D8">
              <w:rPr>
                <w:rFonts w:ascii="Arial" w:eastAsiaTheme="minorHAnsi" w:hAnsi="Arial" w:cs="Arial"/>
                <w:sz w:val="20"/>
                <w:szCs w:val="20"/>
              </w:rPr>
              <w:t>6</w:t>
            </w:r>
            <w:r w:rsidR="00343CA8">
              <w:rPr>
                <w:rFonts w:ascii="Arial" w:eastAsiaTheme="minorHAnsi" w:hAnsi="Arial" w:cs="Arial"/>
                <w:sz w:val="20"/>
                <w:szCs w:val="20"/>
              </w:rPr>
              <w:t>% (EE+)</w:t>
            </w:r>
            <w:r w:rsidR="009334EB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1ED7B34B" w14:textId="77530522" w:rsidR="008E4BF9" w:rsidRPr="007A4E6A" w:rsidRDefault="00773B19" w:rsidP="002E44CB">
            <w:pPr>
              <w:pStyle w:val="ListParagraph"/>
              <w:keepLines/>
              <w:numPr>
                <w:ilvl w:val="0"/>
                <w:numId w:val="37"/>
              </w:numPr>
              <w:tabs>
                <w:tab w:val="clear" w:pos="360"/>
                <w:tab w:val="left" w:pos="-720"/>
              </w:tabs>
              <w:suppressAutoHyphens/>
              <w:spacing w:after="120"/>
              <w:ind w:left="196" w:hanging="18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Premiums</w:t>
            </w:r>
            <w:r w:rsidR="00BF4428"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 can be deducted from employee paychecks pre-tax</w:t>
            </w:r>
            <w:r w:rsidR="009334EB">
              <w:rPr>
                <w:rFonts w:ascii="Arial" w:eastAsiaTheme="minorHAnsi" w:hAnsi="Arial" w:cs="Arial"/>
                <w:sz w:val="20"/>
                <w:szCs w:val="20"/>
              </w:rPr>
              <w:t>.</w:t>
            </w:r>
            <w:r w:rsidR="00BF4428" w:rsidRPr="007A4E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77E56" w14:paraId="65DAF259" w14:textId="77777777" w:rsidTr="002B3F41">
        <w:trPr>
          <w:trHeight w:val="1962"/>
        </w:trPr>
        <w:tc>
          <w:tcPr>
            <w:tcW w:w="2692" w:type="dxa"/>
          </w:tcPr>
          <w:p w14:paraId="00511338" w14:textId="69C1A6D3" w:rsidR="006552A2" w:rsidRPr="007A4E6A" w:rsidRDefault="006552A2" w:rsidP="00612C68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sz w:val="20"/>
                <w:szCs w:val="20"/>
              </w:rPr>
              <w:t>Dental</w:t>
            </w:r>
          </w:p>
          <w:p w14:paraId="487722A4" w14:textId="77777777" w:rsidR="00B52BFB" w:rsidRPr="006651F4" w:rsidRDefault="00B52BFB" w:rsidP="006552A2">
            <w:pPr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7DCAE71" w14:textId="7A51938D" w:rsidR="006552A2" w:rsidRPr="007A4E6A" w:rsidRDefault="00D111AD" w:rsidP="00612C68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Delta Dental</w:t>
            </w:r>
          </w:p>
          <w:p w14:paraId="06224D2E" w14:textId="4CF8019B" w:rsidR="00BF4428" w:rsidRPr="007A4E6A" w:rsidRDefault="00BF4428" w:rsidP="00612C68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0" w:type="dxa"/>
            <w:vAlign w:val="center"/>
          </w:tcPr>
          <w:p w14:paraId="31208A89" w14:textId="77777777" w:rsidR="002E44CB" w:rsidRPr="00481D93" w:rsidRDefault="002E44CB" w:rsidP="009334EB">
            <w:pPr>
              <w:numPr>
                <w:ilvl w:val="0"/>
                <w:numId w:val="35"/>
              </w:numPr>
              <w:tabs>
                <w:tab w:val="clear" w:pos="360"/>
              </w:tabs>
              <w:spacing w:before="120" w:after="40"/>
              <w:ind w:left="196" w:hanging="180"/>
              <w:jc w:val="both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 xml:space="preserve">Deductible: $25 single/$75 family (in-network); </w:t>
            </w:r>
            <w:r w:rsidRPr="00481D93">
              <w:rPr>
                <w:rFonts w:ascii="Arial" w:eastAsiaTheme="minorHAnsi" w:hAnsi="Arial" w:cs="Arial"/>
                <w:sz w:val="20"/>
              </w:rPr>
              <w:t xml:space="preserve">$50 single/$150 family </w:t>
            </w:r>
            <w:r>
              <w:rPr>
                <w:rFonts w:ascii="Arial" w:eastAsiaTheme="minorHAnsi" w:hAnsi="Arial" w:cs="Arial"/>
                <w:sz w:val="20"/>
              </w:rPr>
              <w:t>(out-of-network)</w:t>
            </w:r>
          </w:p>
          <w:p w14:paraId="48DAF642" w14:textId="674FB155" w:rsidR="002E44CB" w:rsidRDefault="002E44CB" w:rsidP="009334EB">
            <w:pPr>
              <w:numPr>
                <w:ilvl w:val="0"/>
                <w:numId w:val="35"/>
              </w:numPr>
              <w:tabs>
                <w:tab w:val="clear" w:pos="360"/>
              </w:tabs>
              <w:spacing w:before="40" w:after="40"/>
              <w:ind w:left="196" w:hanging="180"/>
              <w:jc w:val="both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In-network (PPO): p</w:t>
            </w:r>
            <w:r w:rsidRPr="00481D93">
              <w:rPr>
                <w:rFonts w:ascii="Arial" w:eastAsiaTheme="minorHAnsi" w:hAnsi="Arial" w:cs="Arial"/>
                <w:sz w:val="20"/>
              </w:rPr>
              <w:t>reventative paid at 100%</w:t>
            </w:r>
            <w:r>
              <w:rPr>
                <w:rFonts w:ascii="Arial" w:eastAsiaTheme="minorHAnsi" w:hAnsi="Arial" w:cs="Arial"/>
                <w:sz w:val="20"/>
              </w:rPr>
              <w:t xml:space="preserve">; </w:t>
            </w:r>
            <w:r w:rsidRPr="00481D93">
              <w:rPr>
                <w:rFonts w:ascii="Arial" w:eastAsiaTheme="minorHAnsi" w:hAnsi="Arial" w:cs="Arial"/>
                <w:sz w:val="20"/>
              </w:rPr>
              <w:t>basic/major service at 80%/50% with annual maximum at $</w:t>
            </w:r>
            <w:r>
              <w:rPr>
                <w:rFonts w:ascii="Arial" w:eastAsiaTheme="minorHAnsi" w:hAnsi="Arial" w:cs="Arial"/>
                <w:sz w:val="20"/>
              </w:rPr>
              <w:t>1</w:t>
            </w:r>
            <w:r w:rsidRPr="00481D93">
              <w:rPr>
                <w:rFonts w:ascii="Arial" w:eastAsiaTheme="minorHAnsi" w:hAnsi="Arial" w:cs="Arial"/>
                <w:sz w:val="20"/>
              </w:rPr>
              <w:t>,</w:t>
            </w:r>
            <w:r>
              <w:rPr>
                <w:rFonts w:ascii="Arial" w:eastAsiaTheme="minorHAnsi" w:hAnsi="Arial" w:cs="Arial"/>
                <w:sz w:val="20"/>
              </w:rPr>
              <w:t>5</w:t>
            </w:r>
            <w:r w:rsidRPr="00481D93">
              <w:rPr>
                <w:rFonts w:ascii="Arial" w:eastAsiaTheme="minorHAnsi" w:hAnsi="Arial" w:cs="Arial"/>
                <w:sz w:val="20"/>
              </w:rPr>
              <w:t xml:space="preserve">00; orthodontic at </w:t>
            </w:r>
            <w:r>
              <w:rPr>
                <w:rFonts w:ascii="Arial" w:eastAsiaTheme="minorHAnsi" w:hAnsi="Arial" w:cs="Arial"/>
                <w:sz w:val="20"/>
              </w:rPr>
              <w:t>7</w:t>
            </w:r>
            <w:r w:rsidRPr="00481D93">
              <w:rPr>
                <w:rFonts w:ascii="Arial" w:eastAsiaTheme="minorHAnsi" w:hAnsi="Arial" w:cs="Arial"/>
                <w:sz w:val="20"/>
              </w:rPr>
              <w:t>0% with a $</w:t>
            </w:r>
            <w:r>
              <w:rPr>
                <w:rFonts w:ascii="Arial" w:eastAsiaTheme="minorHAnsi" w:hAnsi="Arial" w:cs="Arial"/>
                <w:sz w:val="20"/>
              </w:rPr>
              <w:t>1,5</w:t>
            </w:r>
            <w:r w:rsidRPr="00481D93">
              <w:rPr>
                <w:rFonts w:ascii="Arial" w:eastAsiaTheme="minorHAnsi" w:hAnsi="Arial" w:cs="Arial"/>
                <w:sz w:val="20"/>
              </w:rPr>
              <w:t>00 lifetime maximum</w:t>
            </w:r>
            <w:r w:rsidR="009334EB">
              <w:rPr>
                <w:rFonts w:ascii="Arial" w:eastAsiaTheme="minorHAnsi" w:hAnsi="Arial" w:cs="Arial"/>
                <w:sz w:val="20"/>
              </w:rPr>
              <w:t>.</w:t>
            </w:r>
          </w:p>
          <w:p w14:paraId="1326160D" w14:textId="2BAB57AF" w:rsidR="002E44CB" w:rsidRPr="009334EB" w:rsidRDefault="002E44CB" w:rsidP="009334EB">
            <w:pPr>
              <w:numPr>
                <w:ilvl w:val="0"/>
                <w:numId w:val="35"/>
              </w:numPr>
              <w:tabs>
                <w:tab w:val="clear" w:pos="360"/>
              </w:tabs>
              <w:spacing w:before="40" w:after="40"/>
              <w:ind w:left="196" w:hanging="180"/>
              <w:jc w:val="both"/>
              <w:rPr>
                <w:rFonts w:ascii="Arial" w:eastAsiaTheme="minorHAnsi" w:hAnsi="Arial" w:cs="Arial"/>
                <w:sz w:val="20"/>
              </w:rPr>
            </w:pPr>
            <w:r w:rsidRPr="009334EB">
              <w:rPr>
                <w:rFonts w:ascii="Arial" w:eastAsiaTheme="minorHAnsi" w:hAnsi="Arial" w:cs="Arial"/>
                <w:sz w:val="20"/>
              </w:rPr>
              <w:t>Out-of-Network (Premier): preventative paid at 80%; basic/major service at 50%/40% with annual maximum at $1,000; orthodontic at 50% with $1,000 lifetime maximum</w:t>
            </w:r>
            <w:r w:rsidR="009334EB">
              <w:rPr>
                <w:rFonts w:ascii="Arial" w:eastAsiaTheme="minorHAnsi" w:hAnsi="Arial" w:cs="Arial"/>
                <w:sz w:val="20"/>
              </w:rPr>
              <w:t>.</w:t>
            </w:r>
          </w:p>
          <w:p w14:paraId="3D7FAB49" w14:textId="183F1F80" w:rsidR="002E44CB" w:rsidRPr="009334EB" w:rsidRDefault="002E44CB" w:rsidP="009334EB">
            <w:pPr>
              <w:numPr>
                <w:ilvl w:val="0"/>
                <w:numId w:val="35"/>
              </w:numPr>
              <w:tabs>
                <w:tab w:val="clear" w:pos="360"/>
              </w:tabs>
              <w:spacing w:before="40" w:after="120"/>
              <w:ind w:left="196" w:hanging="180"/>
              <w:jc w:val="both"/>
              <w:rPr>
                <w:rFonts w:ascii="Arial" w:eastAsiaTheme="minorHAnsi" w:hAnsi="Arial" w:cs="Arial"/>
                <w:sz w:val="20"/>
              </w:rPr>
            </w:pPr>
            <w:r w:rsidRPr="009334EB">
              <w:rPr>
                <w:rFonts w:ascii="Arial" w:eastAsiaTheme="minorHAnsi" w:hAnsi="Arial" w:cs="Arial"/>
                <w:sz w:val="20"/>
                <w:szCs w:val="20"/>
              </w:rPr>
              <w:t>This is a voluntary plan and employees pay 100% of the premium. Premiums can be deducted from employee’s paychecks pre-tax.</w:t>
            </w:r>
          </w:p>
        </w:tc>
      </w:tr>
      <w:tr w:rsidR="00777E56" w14:paraId="54DCEBF3" w14:textId="77777777" w:rsidTr="002B3F41">
        <w:trPr>
          <w:trHeight w:val="1665"/>
        </w:trPr>
        <w:tc>
          <w:tcPr>
            <w:tcW w:w="2692" w:type="dxa"/>
          </w:tcPr>
          <w:p w14:paraId="3F20817C" w14:textId="6C97314C" w:rsidR="006552A2" w:rsidRPr="007A4E6A" w:rsidRDefault="009334EB" w:rsidP="00612C68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6552A2" w:rsidRPr="007A4E6A">
              <w:rPr>
                <w:rFonts w:ascii="Arial" w:hAnsi="Arial" w:cs="Arial"/>
                <w:b/>
                <w:sz w:val="20"/>
                <w:szCs w:val="20"/>
              </w:rPr>
              <w:t>ision</w:t>
            </w:r>
          </w:p>
          <w:p w14:paraId="70CDBAD8" w14:textId="77777777" w:rsidR="00612C68" w:rsidRPr="006651F4" w:rsidRDefault="00612C68" w:rsidP="006552A2">
            <w:pPr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489C681" w14:textId="321BD52C" w:rsidR="006552A2" w:rsidRPr="007A4E6A" w:rsidRDefault="006552A2" w:rsidP="00B94DB1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  <w:p w14:paraId="1B903094" w14:textId="61627BDC" w:rsidR="00BF4428" w:rsidRPr="007A4E6A" w:rsidRDefault="00BF4428" w:rsidP="00B94DB1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30F6F56A" w14:textId="316931E1" w:rsidR="00D44510" w:rsidRPr="007A4E6A" w:rsidRDefault="00D44510" w:rsidP="00B94DB1">
            <w:pPr>
              <w:numPr>
                <w:ilvl w:val="0"/>
                <w:numId w:val="32"/>
              </w:numPr>
              <w:tabs>
                <w:tab w:val="clear" w:pos="360"/>
              </w:tabs>
              <w:spacing w:before="120" w:after="40"/>
              <w:ind w:left="288" w:hanging="288"/>
              <w:rPr>
                <w:rFonts w:ascii="Arial" w:eastAsiaTheme="minorHAnsi" w:hAnsi="Arial" w:cs="Arial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Vision PPO network</w:t>
            </w:r>
            <w:r w:rsidR="009334EB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0D31AF08" w14:textId="12F3E371" w:rsidR="00D44510" w:rsidRPr="007A4E6A" w:rsidRDefault="00D44510" w:rsidP="00B94DB1">
            <w:pPr>
              <w:numPr>
                <w:ilvl w:val="0"/>
                <w:numId w:val="32"/>
              </w:numPr>
              <w:tabs>
                <w:tab w:val="clear" w:pos="360"/>
              </w:tabs>
              <w:spacing w:after="40"/>
              <w:ind w:left="288" w:hanging="288"/>
              <w:rPr>
                <w:rFonts w:ascii="Arial" w:eastAsiaTheme="minorHAnsi" w:hAnsi="Arial" w:cs="Arial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$10 annual co-pay (exam); $10 annual co-pay (materials); $30 annual co-pay (contacts); $150 annual (frames/contacts) allowance</w:t>
            </w:r>
            <w:r w:rsidR="009334EB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46146DBB" w14:textId="5AF8B991" w:rsidR="00D44510" w:rsidRPr="007A4E6A" w:rsidRDefault="00D44510" w:rsidP="002B3F41">
            <w:pPr>
              <w:numPr>
                <w:ilvl w:val="0"/>
                <w:numId w:val="32"/>
              </w:numPr>
              <w:tabs>
                <w:tab w:val="clear" w:pos="360"/>
              </w:tabs>
              <w:spacing w:after="40"/>
              <w:ind w:left="288" w:right="-164" w:hanging="288"/>
              <w:rPr>
                <w:rFonts w:ascii="Arial" w:eastAsiaTheme="minorHAnsi" w:hAnsi="Arial" w:cs="Arial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Discounts offered for out-of-network coverage</w:t>
            </w:r>
            <w:r w:rsidR="009334EB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2F776ED6" w14:textId="0AA6403D" w:rsidR="00B52BFB" w:rsidRPr="009334EB" w:rsidRDefault="00D44510" w:rsidP="00702CBB">
            <w:pPr>
              <w:numPr>
                <w:ilvl w:val="0"/>
                <w:numId w:val="32"/>
              </w:numPr>
              <w:tabs>
                <w:tab w:val="clear" w:pos="360"/>
              </w:tabs>
              <w:spacing w:after="40"/>
              <w:ind w:left="288" w:hanging="288"/>
              <w:rPr>
                <w:rFonts w:ascii="Arial" w:eastAsiaTheme="minorHAnsi" w:hAnsi="Arial" w:cs="Arial"/>
                <w:sz w:val="20"/>
                <w:szCs w:val="20"/>
              </w:rPr>
            </w:pPr>
            <w:r w:rsidRPr="009334EB">
              <w:rPr>
                <w:rFonts w:ascii="Arial" w:eastAsiaTheme="minorHAnsi" w:hAnsi="Arial" w:cs="Arial"/>
                <w:sz w:val="20"/>
                <w:szCs w:val="20"/>
              </w:rPr>
              <w:t xml:space="preserve">This is a voluntary plan and </w:t>
            </w:r>
            <w:r w:rsidR="00F0666B" w:rsidRPr="009334EB">
              <w:rPr>
                <w:rFonts w:ascii="Arial" w:eastAsiaTheme="minorHAnsi" w:hAnsi="Arial" w:cs="Arial"/>
                <w:sz w:val="20"/>
                <w:szCs w:val="20"/>
              </w:rPr>
              <w:t xml:space="preserve">employees </w:t>
            </w:r>
            <w:r w:rsidRPr="009334EB">
              <w:rPr>
                <w:rFonts w:ascii="Arial" w:eastAsiaTheme="minorHAnsi" w:hAnsi="Arial" w:cs="Arial"/>
                <w:sz w:val="20"/>
                <w:szCs w:val="20"/>
              </w:rPr>
              <w:t>pay 100% of the premium</w:t>
            </w:r>
            <w:r w:rsidR="009334EB" w:rsidRPr="009334EB">
              <w:rPr>
                <w:rFonts w:ascii="Arial" w:eastAsiaTheme="minorHAnsi" w:hAnsi="Arial" w:cs="Arial"/>
                <w:sz w:val="20"/>
                <w:szCs w:val="20"/>
              </w:rPr>
              <w:t xml:space="preserve">. </w:t>
            </w:r>
            <w:r w:rsidR="00773B19" w:rsidRPr="009334EB">
              <w:rPr>
                <w:rFonts w:ascii="Arial" w:eastAsiaTheme="minorHAnsi" w:hAnsi="Arial" w:cs="Arial"/>
                <w:sz w:val="20"/>
                <w:szCs w:val="20"/>
              </w:rPr>
              <w:t xml:space="preserve">Premiums </w:t>
            </w:r>
            <w:r w:rsidR="00B52BFB" w:rsidRPr="009334EB">
              <w:rPr>
                <w:rFonts w:ascii="Arial" w:eastAsiaTheme="minorHAnsi" w:hAnsi="Arial" w:cs="Arial"/>
                <w:sz w:val="20"/>
                <w:szCs w:val="20"/>
              </w:rPr>
              <w:t>can be deducted</w:t>
            </w:r>
            <w:r w:rsidR="00F0666B" w:rsidRPr="009334EB">
              <w:rPr>
                <w:rFonts w:ascii="Arial" w:eastAsiaTheme="minorHAnsi" w:hAnsi="Arial" w:cs="Arial"/>
                <w:sz w:val="20"/>
                <w:szCs w:val="20"/>
              </w:rPr>
              <w:t xml:space="preserve"> from employee’s paychecks pre-tax</w:t>
            </w:r>
            <w:r w:rsidR="009334EB">
              <w:rPr>
                <w:rFonts w:ascii="Arial" w:eastAsiaTheme="minorHAnsi" w:hAnsi="Arial" w:cs="Arial"/>
                <w:sz w:val="20"/>
                <w:szCs w:val="20"/>
              </w:rPr>
              <w:t>.</w:t>
            </w:r>
            <w:r w:rsidR="00B52BFB" w:rsidRPr="009334E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0D5CB16" w14:textId="77777777" w:rsidR="006552A2" w:rsidRPr="003126D8" w:rsidRDefault="006552A2" w:rsidP="00B94DB1">
            <w:pPr>
              <w:keepLines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77E56" w14:paraId="27B00706" w14:textId="77777777" w:rsidTr="002B3F41">
        <w:tc>
          <w:tcPr>
            <w:tcW w:w="2692" w:type="dxa"/>
          </w:tcPr>
          <w:p w14:paraId="4225600D" w14:textId="77777777" w:rsidR="006552A2" w:rsidRPr="007A4E6A" w:rsidRDefault="006552A2" w:rsidP="00612C68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sz w:val="20"/>
                <w:szCs w:val="20"/>
              </w:rPr>
              <w:t>Basic Life / AD&amp;D</w:t>
            </w:r>
          </w:p>
          <w:p w14:paraId="48AF850C" w14:textId="77777777" w:rsidR="007A4E6A" w:rsidRPr="006651F4" w:rsidRDefault="007A4E6A" w:rsidP="006552A2">
            <w:pPr>
              <w:keepLines/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130494B" w14:textId="635C4097" w:rsidR="006552A2" w:rsidRPr="007A4E6A" w:rsidRDefault="00D111AD" w:rsidP="00612C68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Mutual of Omaha</w:t>
            </w:r>
          </w:p>
          <w:p w14:paraId="12B6EE9E" w14:textId="1A369DFC" w:rsidR="00BF4428" w:rsidRPr="007A4E6A" w:rsidRDefault="00BF4428" w:rsidP="00612C68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2BD0C" w14:textId="26C892A8" w:rsidR="00BF4428" w:rsidRPr="006651F4" w:rsidRDefault="00BF4428" w:rsidP="006552A2">
            <w:pPr>
              <w:keepLines/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20" w:type="dxa"/>
          </w:tcPr>
          <w:p w14:paraId="5F4414CB" w14:textId="231A240E" w:rsidR="00F0666B" w:rsidRDefault="00F0666B" w:rsidP="00D6140A">
            <w:pPr>
              <w:numPr>
                <w:ilvl w:val="0"/>
                <w:numId w:val="38"/>
              </w:numPr>
              <w:tabs>
                <w:tab w:val="clear" w:pos="360"/>
              </w:tabs>
              <w:spacing w:before="120"/>
              <w:ind w:left="288" w:hanging="288"/>
              <w:jc w:val="both"/>
              <w:rPr>
                <w:rFonts w:ascii="Arial" w:eastAsiaTheme="minorHAnsi" w:hAnsi="Arial" w:cs="Arial"/>
                <w:sz w:val="20"/>
              </w:rPr>
            </w:pPr>
            <w:r w:rsidRPr="00F0666B">
              <w:rPr>
                <w:rFonts w:ascii="Arial" w:eastAsiaTheme="minorHAnsi" w:hAnsi="Arial" w:cs="Arial"/>
                <w:sz w:val="20"/>
              </w:rPr>
              <w:t>Continental provides $</w:t>
            </w:r>
            <w:r w:rsidR="009334EB">
              <w:rPr>
                <w:rFonts w:ascii="Arial" w:eastAsiaTheme="minorHAnsi" w:hAnsi="Arial" w:cs="Arial"/>
                <w:sz w:val="20"/>
              </w:rPr>
              <w:t>50</w:t>
            </w:r>
            <w:r w:rsidRPr="00F0666B">
              <w:rPr>
                <w:rFonts w:ascii="Arial" w:eastAsiaTheme="minorHAnsi" w:hAnsi="Arial" w:cs="Arial"/>
                <w:sz w:val="20"/>
              </w:rPr>
              <w:t>,000 of employee base life coverage; $5,000 for spouse; and $2,500 for each child</w:t>
            </w:r>
            <w:r w:rsidR="009334EB">
              <w:rPr>
                <w:rFonts w:ascii="Arial" w:eastAsiaTheme="minorHAnsi" w:hAnsi="Arial" w:cs="Arial"/>
                <w:sz w:val="20"/>
              </w:rPr>
              <w:t>.</w:t>
            </w:r>
          </w:p>
          <w:p w14:paraId="60CCED2E" w14:textId="5B9ADE04" w:rsidR="00F0666B" w:rsidRDefault="00F0666B" w:rsidP="00D6140A">
            <w:pPr>
              <w:numPr>
                <w:ilvl w:val="0"/>
                <w:numId w:val="38"/>
              </w:numPr>
              <w:tabs>
                <w:tab w:val="clear" w:pos="360"/>
              </w:tabs>
              <w:spacing w:before="40" w:after="40"/>
              <w:ind w:left="286" w:hanging="286"/>
              <w:jc w:val="both"/>
              <w:rPr>
                <w:rFonts w:ascii="Arial" w:eastAsiaTheme="minorHAnsi" w:hAnsi="Arial" w:cs="Arial"/>
                <w:sz w:val="20"/>
              </w:rPr>
            </w:pPr>
            <w:r w:rsidRPr="00F0666B">
              <w:rPr>
                <w:rFonts w:ascii="Arial" w:eastAsiaTheme="minorHAnsi" w:hAnsi="Arial" w:cs="Arial"/>
                <w:sz w:val="20"/>
              </w:rPr>
              <w:t xml:space="preserve">Accidental death and dismemberment benefit will pay survivor an additional amount upon death if applicable.  </w:t>
            </w:r>
          </w:p>
          <w:p w14:paraId="50BD40E1" w14:textId="3CE5E7C1" w:rsidR="00F0666B" w:rsidRPr="00F0666B" w:rsidRDefault="00F0666B" w:rsidP="00D6140A">
            <w:pPr>
              <w:numPr>
                <w:ilvl w:val="0"/>
                <w:numId w:val="38"/>
              </w:numPr>
              <w:tabs>
                <w:tab w:val="clear" w:pos="360"/>
              </w:tabs>
              <w:spacing w:before="40" w:after="40"/>
              <w:ind w:left="286" w:hanging="286"/>
              <w:jc w:val="both"/>
              <w:rPr>
                <w:rFonts w:ascii="Arial" w:eastAsiaTheme="minorHAnsi" w:hAnsi="Arial" w:cs="Arial"/>
                <w:sz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Benefit </w:t>
            </w:r>
            <w:r w:rsidR="00612C68">
              <w:rPr>
                <w:rFonts w:ascii="Arial" w:eastAsiaTheme="minorHAnsi" w:hAnsi="Arial" w:cs="Arial"/>
                <w:sz w:val="20"/>
                <w:szCs w:val="20"/>
              </w:rPr>
              <w:t xml:space="preserve">premium 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paid in full 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by C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ontinental</w:t>
            </w:r>
            <w:r w:rsidR="009334EB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532759E2" w14:textId="22410A1C" w:rsidR="006552A2" w:rsidRPr="003126D8" w:rsidRDefault="006552A2" w:rsidP="00B94DB1">
            <w:pPr>
              <w:tabs>
                <w:tab w:val="left" w:pos="-720"/>
              </w:tabs>
              <w:suppressAutoHyphens/>
              <w:ind w:right="14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77E56" w14:paraId="7F41604C" w14:textId="77777777" w:rsidTr="00457ACA">
        <w:trPr>
          <w:trHeight w:val="465"/>
        </w:trPr>
        <w:tc>
          <w:tcPr>
            <w:tcW w:w="2692" w:type="dxa"/>
          </w:tcPr>
          <w:p w14:paraId="216F0AC8" w14:textId="25BD4110" w:rsidR="006552A2" w:rsidRPr="007A4E6A" w:rsidRDefault="006552A2" w:rsidP="006651F4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sz w:val="20"/>
                <w:szCs w:val="20"/>
              </w:rPr>
              <w:t xml:space="preserve">Short-Term Disability </w:t>
            </w:r>
          </w:p>
          <w:p w14:paraId="4006C7D1" w14:textId="77777777" w:rsidR="007A4E6A" w:rsidRPr="006651F4" w:rsidRDefault="007A4E6A" w:rsidP="00611240">
            <w:pPr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15E77AF" w14:textId="77777777" w:rsidR="00D111AD" w:rsidRPr="007A4E6A" w:rsidRDefault="00D111AD" w:rsidP="00D111AD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Mutual of Omaha</w:t>
            </w:r>
          </w:p>
          <w:p w14:paraId="10222FFF" w14:textId="3C579813" w:rsidR="00D111AD" w:rsidRPr="007A4E6A" w:rsidRDefault="00D111AD" w:rsidP="00D111AD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0A3571" w14:textId="01638827" w:rsidR="00BF4428" w:rsidRPr="006651F4" w:rsidRDefault="00BF4428" w:rsidP="00B94DB1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20" w:type="dxa"/>
            <w:vAlign w:val="center"/>
          </w:tcPr>
          <w:p w14:paraId="6085F01E" w14:textId="58D5EFEF" w:rsidR="00F0666B" w:rsidRDefault="006552A2" w:rsidP="00457ACA">
            <w:pPr>
              <w:pStyle w:val="ListParagraph"/>
              <w:numPr>
                <w:ilvl w:val="0"/>
                <w:numId w:val="39"/>
              </w:numPr>
              <w:tabs>
                <w:tab w:val="clear" w:pos="360"/>
                <w:tab w:val="left" w:pos="-720"/>
              </w:tabs>
              <w:suppressAutoHyphens/>
              <w:ind w:left="288" w:right="144" w:hanging="28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0666B">
              <w:rPr>
                <w:rFonts w:ascii="Arial" w:hAnsi="Arial" w:cs="Arial"/>
                <w:sz w:val="20"/>
                <w:szCs w:val="20"/>
              </w:rPr>
              <w:t xml:space="preserve">Coverage at 60% of base weekly rate </w:t>
            </w:r>
            <w:r w:rsidR="00F0666B">
              <w:rPr>
                <w:rFonts w:ascii="Arial" w:hAnsi="Arial" w:cs="Arial"/>
                <w:sz w:val="20"/>
                <w:szCs w:val="20"/>
              </w:rPr>
              <w:t>(up to $</w:t>
            </w:r>
            <w:r w:rsidR="00C62EFD">
              <w:rPr>
                <w:rFonts w:ascii="Arial" w:hAnsi="Arial" w:cs="Arial"/>
                <w:sz w:val="20"/>
                <w:szCs w:val="20"/>
              </w:rPr>
              <w:t>1,0</w:t>
            </w:r>
            <w:r w:rsidR="00F0666B">
              <w:rPr>
                <w:rFonts w:ascii="Arial" w:hAnsi="Arial" w:cs="Arial"/>
                <w:sz w:val="20"/>
                <w:szCs w:val="20"/>
              </w:rPr>
              <w:t xml:space="preserve">00 per week) </w:t>
            </w:r>
            <w:r w:rsidRPr="00F0666B">
              <w:rPr>
                <w:rFonts w:ascii="Arial" w:hAnsi="Arial" w:cs="Arial"/>
                <w:sz w:val="20"/>
                <w:szCs w:val="20"/>
              </w:rPr>
              <w:t xml:space="preserve">for up to </w:t>
            </w:r>
            <w:r w:rsidR="00C62EFD">
              <w:rPr>
                <w:rFonts w:ascii="Arial" w:hAnsi="Arial" w:cs="Arial"/>
                <w:sz w:val="20"/>
                <w:szCs w:val="20"/>
              </w:rPr>
              <w:t>12</w:t>
            </w:r>
            <w:r w:rsidRPr="00F0666B">
              <w:rPr>
                <w:rFonts w:ascii="Arial" w:hAnsi="Arial" w:cs="Arial"/>
                <w:sz w:val="20"/>
                <w:szCs w:val="20"/>
              </w:rPr>
              <w:t xml:space="preserve"> weeks following </w:t>
            </w:r>
            <w:r w:rsidR="00F0666B" w:rsidRPr="00F0666B">
              <w:rPr>
                <w:rFonts w:ascii="Arial" w:hAnsi="Arial" w:cs="Arial"/>
                <w:sz w:val="20"/>
                <w:szCs w:val="20"/>
              </w:rPr>
              <w:t>7-day</w:t>
            </w:r>
            <w:r w:rsidRPr="00F0666B">
              <w:rPr>
                <w:rFonts w:ascii="Arial" w:hAnsi="Arial" w:cs="Arial"/>
                <w:sz w:val="20"/>
                <w:szCs w:val="20"/>
              </w:rPr>
              <w:t xml:space="preserve"> elimination period. </w:t>
            </w:r>
          </w:p>
          <w:p w14:paraId="18D0044B" w14:textId="1A52407B" w:rsidR="006552A2" w:rsidRPr="007A4E6A" w:rsidRDefault="00F0666B" w:rsidP="00457ACA">
            <w:pPr>
              <w:numPr>
                <w:ilvl w:val="0"/>
                <w:numId w:val="38"/>
              </w:numPr>
              <w:tabs>
                <w:tab w:val="clear" w:pos="360"/>
              </w:tabs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Benefit </w:t>
            </w:r>
            <w:r w:rsidR="00612C68">
              <w:rPr>
                <w:rFonts w:ascii="Arial" w:eastAsiaTheme="minorHAnsi" w:hAnsi="Arial" w:cs="Arial"/>
                <w:sz w:val="20"/>
                <w:szCs w:val="20"/>
              </w:rPr>
              <w:t xml:space="preserve">premium 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paid in full 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by C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ontinental</w:t>
            </w:r>
            <w:r w:rsidR="00C62EFD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</w:tr>
      <w:tr w:rsidR="00777E56" w14:paraId="0712BFDB" w14:textId="77777777" w:rsidTr="002B3F41">
        <w:trPr>
          <w:trHeight w:val="1008"/>
        </w:trPr>
        <w:tc>
          <w:tcPr>
            <w:tcW w:w="2692" w:type="dxa"/>
            <w:vAlign w:val="center"/>
          </w:tcPr>
          <w:p w14:paraId="5BB9EEF6" w14:textId="06F5FA10" w:rsidR="006552A2" w:rsidRPr="007A4E6A" w:rsidRDefault="006552A2" w:rsidP="006552A2">
            <w:pPr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sz w:val="20"/>
                <w:szCs w:val="20"/>
              </w:rPr>
              <w:t xml:space="preserve">Long-Term Disability </w:t>
            </w:r>
          </w:p>
          <w:p w14:paraId="249B92AD" w14:textId="77777777" w:rsidR="007A4E6A" w:rsidRPr="006651F4" w:rsidRDefault="007A4E6A" w:rsidP="006552A2">
            <w:pPr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A97FEB1" w14:textId="77777777" w:rsidR="00D111AD" w:rsidRPr="007A4E6A" w:rsidRDefault="00D111AD" w:rsidP="00D111AD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Mutual of Omaha</w:t>
            </w:r>
          </w:p>
          <w:p w14:paraId="0412707F" w14:textId="38D1467D" w:rsidR="00D111AD" w:rsidRPr="007A4E6A" w:rsidRDefault="00D111AD" w:rsidP="00D111AD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184683" w14:textId="67FBC3C4" w:rsidR="00BF4428" w:rsidRPr="006651F4" w:rsidRDefault="00BF4428" w:rsidP="00B94DB1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20" w:type="dxa"/>
          </w:tcPr>
          <w:p w14:paraId="6055CFA7" w14:textId="67D47D4D" w:rsidR="006552A2" w:rsidRPr="00F0666B" w:rsidRDefault="006552A2" w:rsidP="00956800">
            <w:pPr>
              <w:pStyle w:val="ListParagraph"/>
              <w:numPr>
                <w:ilvl w:val="0"/>
                <w:numId w:val="38"/>
              </w:numPr>
              <w:tabs>
                <w:tab w:val="clear" w:pos="360"/>
              </w:tabs>
              <w:suppressAutoHyphens/>
              <w:spacing w:before="80" w:after="60"/>
              <w:ind w:left="288" w:hanging="288"/>
              <w:contextualSpacing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0666B">
              <w:rPr>
                <w:rFonts w:ascii="Arial" w:hAnsi="Arial" w:cs="Arial"/>
                <w:spacing w:val="-3"/>
                <w:sz w:val="20"/>
                <w:szCs w:val="20"/>
              </w:rPr>
              <w:t xml:space="preserve">This benefit takes effect after </w:t>
            </w:r>
            <w:r w:rsidR="00C62EFD">
              <w:rPr>
                <w:rFonts w:ascii="Arial" w:hAnsi="Arial" w:cs="Arial"/>
                <w:spacing w:val="-3"/>
                <w:sz w:val="20"/>
                <w:szCs w:val="20"/>
              </w:rPr>
              <w:t>12 weeks o</w:t>
            </w:r>
            <w:r w:rsidRPr="00F0666B">
              <w:rPr>
                <w:rFonts w:ascii="Arial" w:hAnsi="Arial" w:cs="Arial"/>
                <w:spacing w:val="-3"/>
                <w:sz w:val="20"/>
                <w:szCs w:val="20"/>
              </w:rPr>
              <w:t xml:space="preserve">f </w:t>
            </w:r>
            <w:r w:rsidR="00F0666B" w:rsidRPr="00F0666B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0666B">
              <w:rPr>
                <w:rFonts w:ascii="Arial" w:hAnsi="Arial" w:cs="Arial"/>
                <w:spacing w:val="-3"/>
                <w:sz w:val="20"/>
                <w:szCs w:val="20"/>
              </w:rPr>
              <w:t>hort</w:t>
            </w:r>
            <w:r w:rsidR="00F0666B" w:rsidRPr="00F0666B">
              <w:rPr>
                <w:rFonts w:ascii="Arial" w:hAnsi="Arial" w:cs="Arial"/>
                <w:spacing w:val="-3"/>
                <w:sz w:val="20"/>
                <w:szCs w:val="20"/>
              </w:rPr>
              <w:t>-t</w:t>
            </w:r>
            <w:r w:rsidRPr="00F0666B">
              <w:rPr>
                <w:rFonts w:ascii="Arial" w:hAnsi="Arial" w:cs="Arial"/>
                <w:spacing w:val="-3"/>
                <w:sz w:val="20"/>
                <w:szCs w:val="20"/>
              </w:rPr>
              <w:t>erm disability. Coverage at 60% of your base pre-disability monthly compensation.</w:t>
            </w:r>
          </w:p>
          <w:p w14:paraId="3EAFEC14" w14:textId="77777777" w:rsidR="006552A2" w:rsidRDefault="00F0666B" w:rsidP="00956800">
            <w:pPr>
              <w:pStyle w:val="ListParagraph"/>
              <w:numPr>
                <w:ilvl w:val="0"/>
                <w:numId w:val="38"/>
              </w:numPr>
              <w:tabs>
                <w:tab w:val="left" w:pos="-720"/>
                <w:tab w:val="left" w:pos="288"/>
              </w:tabs>
              <w:suppressAutoHyphens/>
              <w:spacing w:before="60" w:after="60"/>
              <w:ind w:left="288" w:hanging="28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Benefit </w:t>
            </w:r>
            <w:r w:rsidR="00612C68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>
              <w:rPr>
                <w:rFonts w:ascii="Arial" w:hAnsi="Arial" w:cs="Arial"/>
                <w:sz w:val="20"/>
                <w:szCs w:val="20"/>
              </w:rPr>
              <w:t>is paid in full by Continental</w:t>
            </w:r>
            <w:r w:rsidR="00C62EF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0C1F1F" w14:textId="73CB0BE3" w:rsidR="00C62EFD" w:rsidRPr="00F0666B" w:rsidRDefault="00C62EFD" w:rsidP="00956800">
            <w:pPr>
              <w:pStyle w:val="ListParagraph"/>
              <w:numPr>
                <w:ilvl w:val="0"/>
                <w:numId w:val="38"/>
              </w:numPr>
              <w:tabs>
                <w:tab w:val="left" w:pos="-720"/>
                <w:tab w:val="left" w:pos="288"/>
              </w:tabs>
              <w:suppressAutoHyphens/>
              <w:spacing w:after="80"/>
              <w:ind w:left="288" w:hanging="28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premium for this benefit is waived while you are receiving </w:t>
            </w:r>
            <w:r w:rsidR="002B3F41">
              <w:rPr>
                <w:rFonts w:ascii="Arial" w:hAnsi="Arial" w:cs="Arial"/>
                <w:sz w:val="20"/>
                <w:szCs w:val="20"/>
              </w:rPr>
              <w:t>benefits.</w:t>
            </w:r>
          </w:p>
        </w:tc>
      </w:tr>
      <w:tr w:rsidR="006552A2" w14:paraId="196A0876" w14:textId="77777777" w:rsidTr="002B3F41">
        <w:trPr>
          <w:trHeight w:val="480"/>
        </w:trPr>
        <w:tc>
          <w:tcPr>
            <w:tcW w:w="2692" w:type="dxa"/>
          </w:tcPr>
          <w:p w14:paraId="2E87F88F" w14:textId="77777777" w:rsidR="006552A2" w:rsidRPr="007A4E6A" w:rsidRDefault="006552A2" w:rsidP="00B94DB1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sz w:val="20"/>
                <w:szCs w:val="20"/>
              </w:rPr>
              <w:t>Flexible Spending</w:t>
            </w:r>
          </w:p>
          <w:p w14:paraId="7A216AFB" w14:textId="77777777" w:rsidR="007A4E6A" w:rsidRPr="006651F4" w:rsidRDefault="007A4E6A" w:rsidP="006552A2">
            <w:pPr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81A52B5" w14:textId="335D1B9A" w:rsidR="006552A2" w:rsidRPr="007A4E6A" w:rsidRDefault="00D111AD" w:rsidP="00B94DB1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iSolved Benefits</w:t>
            </w:r>
          </w:p>
          <w:p w14:paraId="21306D14" w14:textId="0771EE57" w:rsidR="00343CA8" w:rsidRPr="007A4E6A" w:rsidRDefault="00343CA8" w:rsidP="00343CA8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846B0" w14:textId="4C559516" w:rsidR="00BF4428" w:rsidRPr="007A4E6A" w:rsidRDefault="00BF4428" w:rsidP="00B94DB1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0BB664" w14:textId="62A4D340" w:rsidR="00BF4428" w:rsidRPr="006651F4" w:rsidRDefault="00BF4428" w:rsidP="006552A2">
            <w:pPr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20" w:type="dxa"/>
          </w:tcPr>
          <w:p w14:paraId="6360F37E" w14:textId="798843BC" w:rsidR="006552A2" w:rsidRPr="007A4E6A" w:rsidRDefault="006552A2" w:rsidP="002B3F41">
            <w:pPr>
              <w:tabs>
                <w:tab w:val="left" w:pos="-720"/>
                <w:tab w:val="left" w:pos="288"/>
              </w:tabs>
              <w:suppressAutoHyphens/>
              <w:spacing w:before="120" w:after="120"/>
              <w:ind w:right="29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A4E6A">
              <w:rPr>
                <w:rFonts w:ascii="Arial" w:hAnsi="Arial" w:cs="Arial"/>
                <w:sz w:val="20"/>
                <w:szCs w:val="20"/>
              </w:rPr>
              <w:t xml:space="preserve">Employees may deduct a portion of their pay on a pre-tax basis for payment of medical/dental/vision and other IRS eligible expenses not covered by insurance, </w:t>
            </w:r>
            <w:r w:rsidR="006651F4" w:rsidRPr="007A4E6A">
              <w:rPr>
                <w:rFonts w:ascii="Arial" w:hAnsi="Arial" w:cs="Arial"/>
                <w:sz w:val="20"/>
                <w:szCs w:val="20"/>
              </w:rPr>
              <w:t>as well as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 dependent care expenses. The annual maximum amount </w:t>
            </w:r>
            <w:r w:rsidR="002B3F41">
              <w:rPr>
                <w:rFonts w:ascii="Arial" w:hAnsi="Arial" w:cs="Arial"/>
                <w:sz w:val="20"/>
                <w:szCs w:val="20"/>
              </w:rPr>
              <w:t xml:space="preserve">the IRS </w:t>
            </w:r>
            <w:r w:rsidRPr="007A4E6A">
              <w:rPr>
                <w:rFonts w:ascii="Arial" w:hAnsi="Arial" w:cs="Arial"/>
                <w:sz w:val="20"/>
                <w:szCs w:val="20"/>
              </w:rPr>
              <w:t>has designated that can be set aside for the medical flex benefit is $3,</w:t>
            </w:r>
            <w:r w:rsidR="00676215">
              <w:rPr>
                <w:rFonts w:ascii="Arial" w:hAnsi="Arial" w:cs="Arial"/>
                <w:sz w:val="20"/>
                <w:szCs w:val="20"/>
              </w:rPr>
              <w:t>3</w:t>
            </w:r>
            <w:r w:rsidR="0081143A">
              <w:rPr>
                <w:rFonts w:ascii="Arial" w:hAnsi="Arial" w:cs="Arial"/>
                <w:sz w:val="20"/>
                <w:szCs w:val="20"/>
              </w:rPr>
              <w:t>00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 and the annual maximum amount for dependent care benefit is $5,000 ($2,500 if married and filing separately).</w:t>
            </w:r>
            <w:r w:rsidR="0081143A">
              <w:rPr>
                <w:rFonts w:ascii="Arial" w:hAnsi="Arial" w:cs="Arial"/>
                <w:sz w:val="20"/>
                <w:szCs w:val="20"/>
              </w:rPr>
              <w:t xml:space="preserve"> CPC also provides a $6</w:t>
            </w:r>
            <w:r w:rsidR="00676215">
              <w:rPr>
                <w:rFonts w:ascii="Arial" w:hAnsi="Arial" w:cs="Arial"/>
                <w:sz w:val="20"/>
                <w:szCs w:val="20"/>
              </w:rPr>
              <w:t>6</w:t>
            </w:r>
            <w:r w:rsidR="0081143A">
              <w:rPr>
                <w:rFonts w:ascii="Arial" w:hAnsi="Arial" w:cs="Arial"/>
                <w:sz w:val="20"/>
                <w:szCs w:val="20"/>
              </w:rPr>
              <w:t>0 carryover feature.</w:t>
            </w:r>
          </w:p>
        </w:tc>
      </w:tr>
      <w:tr w:rsidR="006552A2" w14:paraId="431E73B3" w14:textId="77777777" w:rsidTr="002B3F41">
        <w:trPr>
          <w:trHeight w:val="885"/>
        </w:trPr>
        <w:tc>
          <w:tcPr>
            <w:tcW w:w="2692" w:type="dxa"/>
          </w:tcPr>
          <w:p w14:paraId="6040D146" w14:textId="6631EDAA" w:rsidR="006552A2" w:rsidRPr="007A4E6A" w:rsidRDefault="006552A2" w:rsidP="00B94DB1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sz w:val="20"/>
                <w:szCs w:val="20"/>
              </w:rPr>
              <w:lastRenderedPageBreak/>
              <w:t>Voluntary Benefits</w:t>
            </w:r>
          </w:p>
          <w:p w14:paraId="4C7CBCA6" w14:textId="77777777" w:rsidR="007A4E6A" w:rsidRPr="006651F4" w:rsidRDefault="007A4E6A" w:rsidP="006552A2">
            <w:pPr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2726159" w14:textId="77777777" w:rsidR="00D111AD" w:rsidRPr="007A4E6A" w:rsidRDefault="00D111AD" w:rsidP="00D111AD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Mutual of Omaha</w:t>
            </w:r>
          </w:p>
          <w:p w14:paraId="090D696E" w14:textId="7BB44B0A" w:rsidR="00D111AD" w:rsidRPr="007A4E6A" w:rsidRDefault="00D111AD" w:rsidP="00D111AD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7B8EB2" w14:textId="1CDD33B4" w:rsidR="00BF4428" w:rsidRPr="006651F4" w:rsidRDefault="00BF4428" w:rsidP="006651F4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20" w:type="dxa"/>
          </w:tcPr>
          <w:p w14:paraId="691E1BD4" w14:textId="30FC346B" w:rsidR="006552A2" w:rsidRPr="007A4E6A" w:rsidRDefault="006552A2" w:rsidP="00EF511A">
            <w:pPr>
              <w:tabs>
                <w:tab w:val="left" w:pos="-720"/>
                <w:tab w:val="left" w:pos="288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E6A">
              <w:rPr>
                <w:rFonts w:ascii="Arial" w:hAnsi="Arial" w:cs="Arial"/>
                <w:sz w:val="20"/>
                <w:szCs w:val="20"/>
              </w:rPr>
              <w:t xml:space="preserve">Employees may purchase additional benefits through payroll deduction.  The voluntary benefit choices </w:t>
            </w:r>
            <w:r w:rsidR="006651F4" w:rsidRPr="007A4E6A">
              <w:rPr>
                <w:rFonts w:ascii="Arial" w:hAnsi="Arial" w:cs="Arial"/>
                <w:sz w:val="20"/>
                <w:szCs w:val="20"/>
              </w:rPr>
              <w:t>include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1F4">
              <w:rPr>
                <w:rFonts w:ascii="Arial" w:hAnsi="Arial" w:cs="Arial"/>
                <w:sz w:val="20"/>
                <w:szCs w:val="20"/>
              </w:rPr>
              <w:t>s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upplemental </w:t>
            </w:r>
            <w:r w:rsidR="006651F4">
              <w:rPr>
                <w:rFonts w:ascii="Arial" w:hAnsi="Arial" w:cs="Arial"/>
                <w:sz w:val="20"/>
                <w:szCs w:val="20"/>
              </w:rPr>
              <w:t>l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ife </w:t>
            </w:r>
            <w:r w:rsidR="006651F4">
              <w:rPr>
                <w:rFonts w:ascii="Arial" w:hAnsi="Arial" w:cs="Arial"/>
                <w:sz w:val="20"/>
                <w:szCs w:val="20"/>
              </w:rPr>
              <w:t>i</w:t>
            </w:r>
            <w:r w:rsidRPr="007A4E6A">
              <w:rPr>
                <w:rFonts w:ascii="Arial" w:hAnsi="Arial" w:cs="Arial"/>
                <w:sz w:val="20"/>
                <w:szCs w:val="20"/>
              </w:rPr>
              <w:t>nsurance for employee</w:t>
            </w:r>
            <w:r w:rsidR="00773B19">
              <w:rPr>
                <w:rFonts w:ascii="Arial" w:hAnsi="Arial" w:cs="Arial"/>
                <w:sz w:val="20"/>
                <w:szCs w:val="20"/>
              </w:rPr>
              <w:t xml:space="preserve"> (up to $150,000 guaranteed coverage)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, spouse </w:t>
            </w:r>
            <w:r w:rsidR="006651F4">
              <w:rPr>
                <w:rFonts w:ascii="Arial" w:hAnsi="Arial" w:cs="Arial"/>
                <w:sz w:val="20"/>
                <w:szCs w:val="20"/>
              </w:rPr>
              <w:t>and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 children, </w:t>
            </w:r>
            <w:r w:rsidR="006651F4">
              <w:rPr>
                <w:rFonts w:ascii="Arial" w:hAnsi="Arial" w:cs="Arial"/>
                <w:sz w:val="20"/>
                <w:szCs w:val="20"/>
              </w:rPr>
              <w:t>h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ospital </w:t>
            </w:r>
            <w:r w:rsidR="006651F4">
              <w:rPr>
                <w:rFonts w:ascii="Arial" w:hAnsi="Arial" w:cs="Arial"/>
                <w:sz w:val="20"/>
                <w:szCs w:val="20"/>
              </w:rPr>
              <w:t>i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ndemnity, </w:t>
            </w:r>
            <w:r w:rsidR="006651F4">
              <w:rPr>
                <w:rFonts w:ascii="Arial" w:hAnsi="Arial" w:cs="Arial"/>
                <w:sz w:val="20"/>
                <w:szCs w:val="20"/>
              </w:rPr>
              <w:t>a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ccident </w:t>
            </w:r>
            <w:r w:rsidR="006651F4">
              <w:rPr>
                <w:rFonts w:ascii="Arial" w:hAnsi="Arial" w:cs="Arial"/>
                <w:sz w:val="20"/>
                <w:szCs w:val="20"/>
              </w:rPr>
              <w:t>c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overage, and </w:t>
            </w:r>
            <w:r w:rsidR="006651F4">
              <w:rPr>
                <w:rFonts w:ascii="Arial" w:hAnsi="Arial" w:cs="Arial"/>
                <w:sz w:val="20"/>
                <w:szCs w:val="20"/>
              </w:rPr>
              <w:t>c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ritical </w:t>
            </w:r>
            <w:r w:rsidR="006651F4">
              <w:rPr>
                <w:rFonts w:ascii="Arial" w:hAnsi="Arial" w:cs="Arial"/>
                <w:sz w:val="20"/>
                <w:szCs w:val="20"/>
              </w:rPr>
              <w:t>i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llness </w:t>
            </w:r>
            <w:r w:rsidR="006651F4">
              <w:rPr>
                <w:rFonts w:ascii="Arial" w:hAnsi="Arial" w:cs="Arial"/>
                <w:sz w:val="20"/>
                <w:szCs w:val="20"/>
              </w:rPr>
              <w:t>c</w:t>
            </w:r>
            <w:r w:rsidRPr="007A4E6A">
              <w:rPr>
                <w:rFonts w:ascii="Arial" w:hAnsi="Arial" w:cs="Arial"/>
                <w:sz w:val="20"/>
                <w:szCs w:val="20"/>
              </w:rPr>
              <w:t>overage.</w:t>
            </w:r>
            <w:r w:rsidR="002B3F41">
              <w:rPr>
                <w:rFonts w:ascii="Arial" w:hAnsi="Arial" w:cs="Arial"/>
                <w:sz w:val="20"/>
                <w:szCs w:val="20"/>
              </w:rPr>
              <w:t xml:space="preserve"> See the individual summaries for detailed coverage information.</w:t>
            </w:r>
          </w:p>
        </w:tc>
      </w:tr>
      <w:tr w:rsidR="00685869" w14:paraId="4DFC21DE" w14:textId="77777777" w:rsidTr="002B3F41">
        <w:trPr>
          <w:trHeight w:val="885"/>
        </w:trPr>
        <w:tc>
          <w:tcPr>
            <w:tcW w:w="2692" w:type="dxa"/>
          </w:tcPr>
          <w:p w14:paraId="4797EAFA" w14:textId="77777777" w:rsidR="00685869" w:rsidRDefault="00685869" w:rsidP="00B94DB1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Pet Insurance</w:t>
            </w:r>
          </w:p>
          <w:p w14:paraId="182296E7" w14:textId="77777777" w:rsidR="00685869" w:rsidRPr="00685869" w:rsidRDefault="00685869" w:rsidP="00B94DB1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E65C6F7" w14:textId="5DB10C39" w:rsidR="00685869" w:rsidRDefault="00685869" w:rsidP="00EF511A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Nationwide</w:t>
            </w:r>
          </w:p>
          <w:p w14:paraId="6D22096C" w14:textId="7E025526" w:rsidR="00685869" w:rsidRPr="007A4E6A" w:rsidRDefault="00685869" w:rsidP="00B94DB1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617B1709" w14:textId="77777777" w:rsidR="00685869" w:rsidRDefault="00685869" w:rsidP="00EF511A">
            <w:pPr>
              <w:tabs>
                <w:tab w:val="left" w:pos="-720"/>
                <w:tab w:val="left" w:pos="288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voluntary benefit is a reimbursement indemnity plan (Nationwide reimburses for </w:t>
            </w:r>
            <w:r w:rsidR="00EF511A">
              <w:rPr>
                <w:rFonts w:ascii="Arial" w:hAnsi="Arial" w:cs="Arial"/>
                <w:sz w:val="20"/>
                <w:szCs w:val="20"/>
              </w:rPr>
              <w:t xml:space="preserve">a portion of eligible veterinary expenses related to accidents, injuries of illnesses).  </w:t>
            </w:r>
          </w:p>
          <w:p w14:paraId="7A2B5CE7" w14:textId="7DCDDD55" w:rsidR="00EF511A" w:rsidRDefault="00EF511A" w:rsidP="00EF511A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  <w:tab w:val="left" w:pos="376"/>
              </w:tabs>
              <w:suppressAutoHyphens/>
              <w:spacing w:before="120" w:after="120"/>
              <w:ind w:left="3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Deductible levels: $250 / $500 / $1,000      Maximum annual benefit: $7,500 </w:t>
            </w:r>
          </w:p>
          <w:p w14:paraId="4DD05FE8" w14:textId="6FDC830C" w:rsidR="00EF511A" w:rsidRPr="00EF511A" w:rsidRDefault="00EF511A" w:rsidP="00EF511A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  <w:tab w:val="left" w:pos="376"/>
              </w:tabs>
              <w:suppressAutoHyphens/>
              <w:spacing w:before="100" w:after="100"/>
              <w:ind w:left="37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Reimbursement levels: $50% / 70% / 80%</w:t>
            </w:r>
          </w:p>
        </w:tc>
      </w:tr>
      <w:tr w:rsidR="008F6FAA" w14:paraId="1F8DA371" w14:textId="77777777" w:rsidTr="002B3F41">
        <w:trPr>
          <w:trHeight w:val="480"/>
        </w:trPr>
        <w:tc>
          <w:tcPr>
            <w:tcW w:w="2692" w:type="dxa"/>
          </w:tcPr>
          <w:p w14:paraId="40D191E1" w14:textId="77777777" w:rsidR="008F6FAA" w:rsidRPr="008F6FAA" w:rsidRDefault="008F6FAA" w:rsidP="008F6FAA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F6FAA">
              <w:rPr>
                <w:rFonts w:ascii="Arial" w:hAnsi="Arial" w:cs="Arial"/>
                <w:b/>
                <w:sz w:val="20"/>
                <w:szCs w:val="20"/>
              </w:rPr>
              <w:t>401K</w:t>
            </w:r>
          </w:p>
          <w:p w14:paraId="42D6459F" w14:textId="77777777" w:rsidR="008F6FAA" w:rsidRPr="008F6FAA" w:rsidRDefault="008F6FAA" w:rsidP="008F6FAA">
            <w:pPr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139B948" w14:textId="77777777" w:rsidR="008F6FAA" w:rsidRPr="008F6FAA" w:rsidRDefault="008F6FAA" w:rsidP="008F6FAA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F6FAA">
              <w:rPr>
                <w:rFonts w:ascii="Arial" w:hAnsi="Arial" w:cs="Arial"/>
                <w:b/>
                <w:sz w:val="20"/>
                <w:szCs w:val="20"/>
              </w:rPr>
              <w:t>Transamerica</w:t>
            </w:r>
          </w:p>
          <w:p w14:paraId="0E85D4CD" w14:textId="77777777" w:rsidR="008F6FAA" w:rsidRPr="008F6FAA" w:rsidRDefault="008F6FAA" w:rsidP="008F6FAA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hyperlink r:id="rId8" w:history="1">
              <w:r w:rsidRPr="008F6FA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www.transamerica.com</w:t>
              </w:r>
            </w:hyperlink>
          </w:p>
          <w:p w14:paraId="7C2ED1BE" w14:textId="1A0A7695" w:rsidR="008F6FAA" w:rsidRPr="008F6FAA" w:rsidRDefault="008F6FAA" w:rsidP="008F6FAA">
            <w:pPr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B70" w14:textId="7053042E" w:rsidR="008F6FAA" w:rsidRPr="008F6FAA" w:rsidRDefault="008F6FAA" w:rsidP="008F6FAA">
            <w:pPr>
              <w:spacing w:before="100" w:after="100"/>
              <w:jc w:val="both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8F6FAA">
              <w:rPr>
                <w:rFonts w:ascii="Arial" w:hAnsi="Arial" w:cs="Arial"/>
                <w:sz w:val="20"/>
                <w:szCs w:val="20"/>
              </w:rPr>
              <w:t xml:space="preserve">Employees may contribute to the plan with either/or a pre-tax 401k or after-tax Roth 401k option.  Employees may contribute on a tax-deferred basis the amount subject to IRS total dollar maximums. The company offers immediate vesting on all matching funds and earnings.  The current match is 100% on the first 4% combined for both 401k and Roth 401k contributions. Employees can immediately </w:t>
            </w:r>
            <w:proofErr w:type="gramStart"/>
            <w:r w:rsidRPr="008F6FAA">
              <w:rPr>
                <w:rFonts w:ascii="Arial" w:hAnsi="Arial" w:cs="Arial"/>
                <w:sz w:val="20"/>
                <w:szCs w:val="20"/>
              </w:rPr>
              <w:t>rollover</w:t>
            </w:r>
            <w:proofErr w:type="gramEnd"/>
            <w:r w:rsidRPr="008F6FAA">
              <w:rPr>
                <w:rFonts w:ascii="Arial" w:hAnsi="Arial" w:cs="Arial"/>
                <w:sz w:val="20"/>
                <w:szCs w:val="20"/>
              </w:rPr>
              <w:t xml:space="preserve"> any eligible retirement funds into CPC’s plan.  A 4% auto-enrollment feature is in place. </w:t>
            </w:r>
          </w:p>
        </w:tc>
      </w:tr>
      <w:tr w:rsidR="006552A2" w14:paraId="13AC2585" w14:textId="77777777" w:rsidTr="00EF511A">
        <w:trPr>
          <w:trHeight w:val="2280"/>
        </w:trPr>
        <w:tc>
          <w:tcPr>
            <w:tcW w:w="2692" w:type="dxa"/>
            <w:tcBorders>
              <w:bottom w:val="nil"/>
            </w:tcBorders>
          </w:tcPr>
          <w:p w14:paraId="61623858" w14:textId="693867CC" w:rsidR="006552A2" w:rsidRPr="007A4E6A" w:rsidRDefault="006552A2" w:rsidP="00B94DB1">
            <w:pPr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sz w:val="20"/>
                <w:szCs w:val="20"/>
              </w:rPr>
              <w:t>PTO</w:t>
            </w:r>
          </w:p>
        </w:tc>
        <w:tc>
          <w:tcPr>
            <w:tcW w:w="7920" w:type="dxa"/>
            <w:tcBorders>
              <w:bottom w:val="nil"/>
            </w:tcBorders>
          </w:tcPr>
          <w:p w14:paraId="6C0AA8F6" w14:textId="078C5DEC" w:rsidR="00BB6F1A" w:rsidRPr="007A4E6A" w:rsidRDefault="007A4E6A" w:rsidP="00EF511A">
            <w:pPr>
              <w:spacing w:before="100" w:after="100"/>
              <w:ind w:left="14" w:righ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E6A">
              <w:rPr>
                <w:rFonts w:ascii="Arial" w:hAnsi="Arial" w:cs="Arial"/>
                <w:sz w:val="20"/>
                <w:szCs w:val="20"/>
              </w:rPr>
              <w:t>Regular e</w:t>
            </w:r>
            <w:r w:rsidR="00BB6F1A" w:rsidRPr="007A4E6A">
              <w:rPr>
                <w:rFonts w:ascii="Arial" w:hAnsi="Arial" w:cs="Arial"/>
                <w:sz w:val="20"/>
                <w:szCs w:val="20"/>
              </w:rPr>
              <w:t>mployees (who work at least an average of 20 hours per week) are eligible for PTO based on the years of continuous service, as follows:</w:t>
            </w:r>
          </w:p>
          <w:tbl>
            <w:tblPr>
              <w:tblW w:w="6175" w:type="dxa"/>
              <w:tblInd w:w="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9"/>
              <w:gridCol w:w="1061"/>
              <w:gridCol w:w="2545"/>
            </w:tblGrid>
            <w:tr w:rsidR="00BB6F1A" w:rsidRPr="007A4E6A" w14:paraId="72780B67" w14:textId="77777777" w:rsidTr="00E24D11">
              <w:trPr>
                <w:trHeight w:val="394"/>
              </w:trPr>
              <w:tc>
                <w:tcPr>
                  <w:tcW w:w="2569" w:type="dxa"/>
                  <w:shd w:val="clear" w:color="auto" w:fill="000000"/>
                  <w:vAlign w:val="center"/>
                </w:tcPr>
                <w:p w14:paraId="7BEFB162" w14:textId="77777777" w:rsidR="00BB6F1A" w:rsidRPr="007A4E6A" w:rsidRDefault="00BB6F1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b/>
                      <w:bCs/>
                      <w:color w:val="FFFFFF"/>
                      <w:sz w:val="20"/>
                      <w:szCs w:val="20"/>
                    </w:rPr>
                    <w:t>Years of Credited Service</w:t>
                  </w:r>
                </w:p>
              </w:tc>
              <w:tc>
                <w:tcPr>
                  <w:tcW w:w="1061" w:type="dxa"/>
                  <w:shd w:val="clear" w:color="auto" w:fill="000000"/>
                  <w:vAlign w:val="center"/>
                </w:tcPr>
                <w:p w14:paraId="3574FED4" w14:textId="77777777" w:rsidR="00BB6F1A" w:rsidRPr="007A4E6A" w:rsidRDefault="00BB6F1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b/>
                      <w:bCs/>
                      <w:color w:val="FFFFFF"/>
                      <w:sz w:val="20"/>
                      <w:szCs w:val="20"/>
                    </w:rPr>
                    <w:t>Tier</w:t>
                  </w:r>
                </w:p>
              </w:tc>
              <w:tc>
                <w:tcPr>
                  <w:tcW w:w="2545" w:type="dxa"/>
                  <w:shd w:val="clear" w:color="auto" w:fill="000000"/>
                  <w:vAlign w:val="center"/>
                </w:tcPr>
                <w:p w14:paraId="6460D92A" w14:textId="77777777" w:rsidR="00BB6F1A" w:rsidRPr="007A4E6A" w:rsidRDefault="00BB6F1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b/>
                      <w:bCs/>
                      <w:color w:val="FFFFFF"/>
                      <w:sz w:val="20"/>
                      <w:szCs w:val="20"/>
                    </w:rPr>
                    <w:t>PTO Hours Per Year</w:t>
                  </w:r>
                </w:p>
              </w:tc>
            </w:tr>
            <w:tr w:rsidR="00BB6F1A" w:rsidRPr="007A4E6A" w14:paraId="284C173F" w14:textId="77777777" w:rsidTr="00134F21">
              <w:trPr>
                <w:trHeight w:val="1223"/>
              </w:trPr>
              <w:tc>
                <w:tcPr>
                  <w:tcW w:w="2569" w:type="dxa"/>
                </w:tcPr>
                <w:p w14:paraId="025A64E2" w14:textId="6D60410D" w:rsidR="00BB6F1A" w:rsidRPr="007A4E6A" w:rsidRDefault="005F3FE0" w:rsidP="00F527BE">
                  <w:pPr>
                    <w:framePr w:hSpace="180" w:wrap="around" w:vAnchor="text" w:hAnchor="margin" w:xAlign="center" w:y="151"/>
                    <w:spacing w:before="4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Less than </w:t>
                  </w:r>
                  <w:r w:rsidR="00BB6F1A"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3 years</w:t>
                  </w:r>
                </w:p>
                <w:p w14:paraId="60DCEC52" w14:textId="675D05A5" w:rsidR="00BB6F1A" w:rsidRPr="007A4E6A" w:rsidRDefault="00BB6F1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3 through </w:t>
                  </w:r>
                  <w:r w:rsidR="007A4E6A"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6</w:t>
                  </w: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years</w:t>
                  </w:r>
                </w:p>
                <w:p w14:paraId="1089BC4D" w14:textId="46AE1ADA" w:rsidR="007A4E6A" w:rsidRPr="007A4E6A" w:rsidRDefault="007A4E6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7 through 10 years</w:t>
                  </w:r>
                </w:p>
                <w:p w14:paraId="7B32DAB9" w14:textId="78B0F1FA" w:rsidR="007A4E6A" w:rsidRPr="007A4E6A" w:rsidRDefault="007A4E6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11 through 18 years  </w:t>
                  </w:r>
                </w:p>
                <w:p w14:paraId="1662E4CE" w14:textId="100DDD93" w:rsidR="00BB6F1A" w:rsidRPr="007A4E6A" w:rsidRDefault="007A4E6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19</w:t>
                  </w:r>
                  <w:r w:rsidR="00BB6F1A"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years or more</w:t>
                  </w:r>
                </w:p>
              </w:tc>
              <w:tc>
                <w:tcPr>
                  <w:tcW w:w="1061" w:type="dxa"/>
                </w:tcPr>
                <w:p w14:paraId="6AF0633D" w14:textId="77777777" w:rsidR="00BB6F1A" w:rsidRPr="007A4E6A" w:rsidRDefault="00BB6F1A" w:rsidP="00F527BE">
                  <w:pPr>
                    <w:framePr w:hSpace="180" w:wrap="around" w:vAnchor="text" w:hAnchor="margin" w:xAlign="center" w:y="151"/>
                    <w:spacing w:before="4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1</w:t>
                  </w:r>
                </w:p>
                <w:p w14:paraId="231C020A" w14:textId="77777777" w:rsidR="00BB6F1A" w:rsidRPr="007A4E6A" w:rsidRDefault="00BB6F1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2</w:t>
                  </w:r>
                </w:p>
                <w:p w14:paraId="2F7F5990" w14:textId="77777777" w:rsidR="00BB6F1A" w:rsidRPr="007A4E6A" w:rsidRDefault="00BB6F1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3</w:t>
                  </w:r>
                </w:p>
                <w:p w14:paraId="7656DC05" w14:textId="77777777" w:rsidR="007A4E6A" w:rsidRPr="007A4E6A" w:rsidRDefault="007A4E6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4</w:t>
                  </w:r>
                </w:p>
                <w:p w14:paraId="0486FC3F" w14:textId="7D43A2F3" w:rsidR="007A4E6A" w:rsidRPr="007A4E6A" w:rsidRDefault="007A4E6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5" w:type="dxa"/>
                </w:tcPr>
                <w:p w14:paraId="4987C2B8" w14:textId="74D77093" w:rsidR="00BB6F1A" w:rsidRPr="007A4E6A" w:rsidRDefault="00BB6F1A" w:rsidP="00F527BE">
                  <w:pPr>
                    <w:framePr w:hSpace="180" w:wrap="around" w:vAnchor="text" w:hAnchor="margin" w:xAlign="center" w:y="151"/>
                    <w:spacing w:before="4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1</w:t>
                  </w:r>
                  <w:r w:rsidR="007A4E6A"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04</w:t>
                  </w: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hours</w:t>
                  </w:r>
                </w:p>
                <w:p w14:paraId="7845F1C5" w14:textId="234E6EC1" w:rsidR="00BB6F1A" w:rsidRPr="007A4E6A" w:rsidRDefault="00BB6F1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1</w:t>
                  </w:r>
                  <w:r w:rsidR="007A4E6A"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28</w:t>
                  </w: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hours</w:t>
                  </w:r>
                </w:p>
                <w:p w14:paraId="776F00D8" w14:textId="77777777" w:rsidR="00BB6F1A" w:rsidRPr="007A4E6A" w:rsidRDefault="007A4E6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160</w:t>
                  </w:r>
                  <w:r w:rsidR="00BB6F1A"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hours</w:t>
                  </w:r>
                </w:p>
                <w:p w14:paraId="6CC30093" w14:textId="64446C6D" w:rsidR="007A4E6A" w:rsidRPr="007A4E6A" w:rsidRDefault="007A4E6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192 hours</w:t>
                  </w:r>
                </w:p>
                <w:p w14:paraId="2E59061B" w14:textId="5CBB5593" w:rsidR="007A4E6A" w:rsidRPr="007A4E6A" w:rsidRDefault="007A4E6A" w:rsidP="00F527BE">
                  <w:pPr>
                    <w:framePr w:hSpace="180" w:wrap="around" w:vAnchor="text" w:hAnchor="margin" w:xAlign="center" w:y="151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A4E6A">
                    <w:rPr>
                      <w:rFonts w:ascii="Arial" w:eastAsiaTheme="minorHAnsi" w:hAnsi="Arial" w:cs="Arial"/>
                      <w:sz w:val="20"/>
                      <w:szCs w:val="20"/>
                    </w:rPr>
                    <w:t>224 hours</w:t>
                  </w:r>
                </w:p>
              </w:tc>
            </w:tr>
          </w:tbl>
          <w:p w14:paraId="10186A21" w14:textId="19B453AE" w:rsidR="00BB6F1A" w:rsidRPr="007A4E6A" w:rsidRDefault="007A4E6A" w:rsidP="00EF511A">
            <w:pPr>
              <w:pStyle w:val="ListParagraph"/>
              <w:numPr>
                <w:ilvl w:val="0"/>
                <w:numId w:val="38"/>
              </w:numPr>
              <w:tabs>
                <w:tab w:val="clear" w:pos="360"/>
                <w:tab w:val="left" w:pos="-720"/>
              </w:tabs>
              <w:suppressAutoHyphens/>
              <w:spacing w:before="100" w:after="1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A4E6A">
              <w:rPr>
                <w:rFonts w:ascii="Arial" w:hAnsi="Arial" w:cs="Arial"/>
                <w:sz w:val="20"/>
                <w:szCs w:val="20"/>
              </w:rPr>
              <w:t>PTO begins accruing on the first hour of work</w:t>
            </w:r>
            <w:r w:rsidR="005F3FE0">
              <w:rPr>
                <w:rFonts w:ascii="Arial" w:hAnsi="Arial" w:cs="Arial"/>
                <w:sz w:val="20"/>
                <w:szCs w:val="20"/>
              </w:rPr>
              <w:t>.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77E56" w14:paraId="6C26DEB9" w14:textId="77777777" w:rsidTr="002B3F41">
        <w:trPr>
          <w:trHeight w:val="795"/>
        </w:trPr>
        <w:tc>
          <w:tcPr>
            <w:tcW w:w="2692" w:type="dxa"/>
          </w:tcPr>
          <w:p w14:paraId="7556F4FE" w14:textId="77777777" w:rsidR="006552A2" w:rsidRPr="007A4E6A" w:rsidRDefault="006552A2" w:rsidP="00B94DB1">
            <w:pPr>
              <w:keepNext/>
              <w:keepLines/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sz w:val="20"/>
                <w:szCs w:val="20"/>
              </w:rPr>
              <w:t>Holidays</w:t>
            </w:r>
          </w:p>
        </w:tc>
        <w:tc>
          <w:tcPr>
            <w:tcW w:w="7920" w:type="dxa"/>
          </w:tcPr>
          <w:p w14:paraId="2401BC92" w14:textId="0526E75B" w:rsidR="006552A2" w:rsidRPr="007A4E6A" w:rsidRDefault="006552A2" w:rsidP="00EF511A">
            <w:pPr>
              <w:tabs>
                <w:tab w:val="left" w:pos="-720"/>
              </w:tabs>
              <w:suppressAutoHyphens/>
              <w:spacing w:before="10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E6A">
              <w:rPr>
                <w:rFonts w:ascii="Arial" w:hAnsi="Arial" w:cs="Arial"/>
                <w:sz w:val="20"/>
                <w:szCs w:val="20"/>
              </w:rPr>
              <w:t xml:space="preserve">Nine paid holidays in the calendar year.  </w:t>
            </w:r>
            <w:r w:rsidR="00134F21">
              <w:rPr>
                <w:rFonts w:ascii="Arial" w:hAnsi="Arial" w:cs="Arial"/>
                <w:sz w:val="20"/>
                <w:szCs w:val="20"/>
              </w:rPr>
              <w:t>They are: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ABF019" w14:textId="590107E5" w:rsidR="006552A2" w:rsidRPr="007A4E6A" w:rsidRDefault="006552A2" w:rsidP="00EF511A">
            <w:pPr>
              <w:tabs>
                <w:tab w:val="left" w:pos="-720"/>
                <w:tab w:val="left" w:pos="2988"/>
                <w:tab w:val="left" w:pos="5688"/>
              </w:tabs>
              <w:suppressAutoHyphens/>
              <w:spacing w:before="12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E6A">
              <w:rPr>
                <w:rFonts w:ascii="Arial" w:hAnsi="Arial" w:cs="Arial"/>
                <w:sz w:val="20"/>
                <w:szCs w:val="20"/>
              </w:rPr>
              <w:t>New Year’s Day / Memorial Day / Independence Day / Labor Day / Thanksgiving Day / Day after Thanksgiving / Christmas Eve Day / Christmas Day / New Year’s Eve Day</w:t>
            </w:r>
          </w:p>
        </w:tc>
      </w:tr>
      <w:tr w:rsidR="00777E56" w14:paraId="53A74F46" w14:textId="77777777" w:rsidTr="005F3FE0">
        <w:trPr>
          <w:trHeight w:val="2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176C7" w14:textId="77777777" w:rsidR="006552A2" w:rsidRPr="007A4E6A" w:rsidRDefault="006552A2" w:rsidP="00B94DB1">
            <w:pPr>
              <w:keepNext/>
              <w:keepLines/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sz w:val="20"/>
                <w:szCs w:val="20"/>
              </w:rPr>
              <w:t>Profit Sharing Plan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632B" w14:textId="12C63866" w:rsidR="006552A2" w:rsidRPr="007A4E6A" w:rsidRDefault="006552A2" w:rsidP="00EF511A">
            <w:pPr>
              <w:keepLines/>
              <w:tabs>
                <w:tab w:val="left" w:pos="-720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E6A">
              <w:rPr>
                <w:rFonts w:ascii="Arial" w:hAnsi="Arial" w:cs="Arial"/>
                <w:sz w:val="20"/>
                <w:szCs w:val="20"/>
              </w:rPr>
              <w:t>This benefit allows the potential for a discretionary contribution to be made annually.  Employees become eligible after their first year from</w:t>
            </w:r>
            <w:r w:rsidR="006651F4">
              <w:rPr>
                <w:rFonts w:ascii="Arial" w:hAnsi="Arial" w:cs="Arial"/>
                <w:sz w:val="20"/>
                <w:szCs w:val="20"/>
              </w:rPr>
              <w:t xml:space="preserve"> date of</w:t>
            </w:r>
            <w:r w:rsidRPr="007A4E6A">
              <w:rPr>
                <w:rFonts w:ascii="Arial" w:hAnsi="Arial" w:cs="Arial"/>
                <w:sz w:val="20"/>
                <w:szCs w:val="20"/>
              </w:rPr>
              <w:t xml:space="preserve"> hire and are subject to a 6-year vesting schedule.  </w:t>
            </w:r>
          </w:p>
        </w:tc>
      </w:tr>
      <w:tr w:rsidR="00777E56" w14:paraId="0ECD0D40" w14:textId="77777777" w:rsidTr="00EF511A">
        <w:trPr>
          <w:trHeight w:val="120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09B80" w14:textId="4406731F" w:rsidR="006552A2" w:rsidRPr="007A4E6A" w:rsidRDefault="005F3FE0" w:rsidP="00EF511A">
            <w:pPr>
              <w:keepNext/>
              <w:keepLines/>
              <w:tabs>
                <w:tab w:val="left" w:pos="-720"/>
              </w:tabs>
              <w:suppressAutoHyphens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 w:rsidR="006552A2" w:rsidRPr="007A4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ployee Assistance Program (EAP) </w:t>
            </w:r>
          </w:p>
          <w:p w14:paraId="1A5DBE1E" w14:textId="77777777" w:rsidR="00777E56" w:rsidRPr="006651F4" w:rsidRDefault="00777E56" w:rsidP="006552A2">
            <w:pPr>
              <w:keepNext/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567878A" w14:textId="2CCA7A3E" w:rsidR="00BF4428" w:rsidRPr="007A4E6A" w:rsidRDefault="00D111AD" w:rsidP="00EF511A">
            <w:pPr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Mutual of Omaha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4C7E" w14:textId="77777777" w:rsidR="00EF511A" w:rsidRDefault="00D44510" w:rsidP="00EF511A">
            <w:pPr>
              <w:numPr>
                <w:ilvl w:val="0"/>
                <w:numId w:val="32"/>
              </w:numPr>
              <w:tabs>
                <w:tab w:val="clear" w:pos="360"/>
              </w:tabs>
              <w:spacing w:before="6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F511A">
              <w:rPr>
                <w:rFonts w:ascii="Arial" w:eastAsiaTheme="minorHAnsi" w:hAnsi="Arial" w:cs="Arial"/>
                <w:sz w:val="20"/>
                <w:szCs w:val="20"/>
              </w:rPr>
              <w:t>Network of licensed counselors; accessible 24 hours a day and 7 days a week</w:t>
            </w:r>
            <w:r w:rsidR="005F3FE0" w:rsidRPr="00EF511A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701A31E0" w14:textId="59C0C5C7" w:rsidR="00D44510" w:rsidRPr="00EF511A" w:rsidRDefault="00D44510" w:rsidP="00EF511A">
            <w:pPr>
              <w:numPr>
                <w:ilvl w:val="0"/>
                <w:numId w:val="32"/>
              </w:numPr>
              <w:tabs>
                <w:tab w:val="clear" w:pos="360"/>
              </w:tabs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F511A">
              <w:rPr>
                <w:rFonts w:ascii="Arial" w:eastAsiaTheme="minorHAnsi" w:hAnsi="Arial" w:cs="Arial"/>
                <w:sz w:val="20"/>
                <w:szCs w:val="20"/>
              </w:rPr>
              <w:t xml:space="preserve">Assistance with marital and relationship issues, </w:t>
            </w:r>
            <w:r w:rsidR="00134F21" w:rsidRPr="00EF511A">
              <w:rPr>
                <w:rFonts w:ascii="Arial" w:eastAsiaTheme="minorHAnsi" w:hAnsi="Arial" w:cs="Arial"/>
                <w:sz w:val="20"/>
                <w:szCs w:val="20"/>
              </w:rPr>
              <w:t>child,</w:t>
            </w:r>
            <w:r w:rsidRPr="00EF511A">
              <w:rPr>
                <w:rFonts w:ascii="Arial" w:eastAsiaTheme="minorHAnsi" w:hAnsi="Arial" w:cs="Arial"/>
                <w:sz w:val="20"/>
                <w:szCs w:val="20"/>
              </w:rPr>
              <w:t xml:space="preserve"> and elder care issues, financial, workplace issues; pre-retirement issues; legal and identity theft, stress, depression and anxiety, health and wellness and other life events</w:t>
            </w:r>
            <w:r w:rsidR="005F3FE0" w:rsidRPr="00EF511A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141F45FF" w14:textId="706A0693" w:rsidR="000010B3" w:rsidRPr="005F3FE0" w:rsidRDefault="00D44510" w:rsidP="00EF511A">
            <w:pPr>
              <w:pStyle w:val="ListParagraph"/>
              <w:keepLines/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after="80"/>
              <w:ind w:left="37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0B3">
              <w:rPr>
                <w:rFonts w:ascii="Arial" w:eastAsiaTheme="minorHAnsi" w:hAnsi="Arial" w:cs="Arial"/>
                <w:sz w:val="20"/>
                <w:szCs w:val="20"/>
              </w:rPr>
              <w:t>Benefit is strictly CONFIDENTIAL and provided in full by CPC</w:t>
            </w:r>
            <w:r w:rsidR="006552A2" w:rsidRPr="000010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52A2" w14:paraId="047559A7" w14:textId="77777777" w:rsidTr="00EF511A">
        <w:trPr>
          <w:trHeight w:val="29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95088" w14:textId="68C83265" w:rsidR="00611240" w:rsidRPr="007A4E6A" w:rsidRDefault="006552A2" w:rsidP="00EF511A">
            <w:pPr>
              <w:keepNext/>
              <w:keepLines/>
              <w:tabs>
                <w:tab w:val="left" w:pos="-720"/>
              </w:tabs>
              <w:suppressAutoHyphens/>
              <w:spacing w:before="10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E6A">
              <w:rPr>
                <w:rFonts w:ascii="Arial" w:hAnsi="Arial" w:cs="Arial"/>
                <w:b/>
                <w:bCs/>
                <w:sz w:val="20"/>
                <w:szCs w:val="20"/>
              </w:rPr>
              <w:t>Other Benefits</w:t>
            </w:r>
          </w:p>
          <w:p w14:paraId="1A58EB51" w14:textId="77777777" w:rsidR="00611240" w:rsidRPr="007A4E6A" w:rsidRDefault="00611240" w:rsidP="006552A2">
            <w:pPr>
              <w:keepNext/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39CEB5" w14:textId="77777777" w:rsidR="00611240" w:rsidRPr="007A4E6A" w:rsidRDefault="00611240" w:rsidP="006552A2">
            <w:pPr>
              <w:keepNext/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FC041B" w14:textId="77777777" w:rsidR="006552A2" w:rsidRPr="007A4E6A" w:rsidRDefault="006552A2" w:rsidP="006552A2">
            <w:pPr>
              <w:keepNext/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B2349C" w14:textId="77777777" w:rsidR="006552A2" w:rsidRPr="007A4E6A" w:rsidRDefault="006552A2" w:rsidP="006552A2">
            <w:pPr>
              <w:keepNext/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6D28B5" w14:textId="77777777" w:rsidR="006552A2" w:rsidRPr="007A4E6A" w:rsidRDefault="006552A2" w:rsidP="006552A2">
            <w:pPr>
              <w:keepNext/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460411" w14:textId="77777777" w:rsidR="006552A2" w:rsidRPr="007A4E6A" w:rsidRDefault="006552A2" w:rsidP="006552A2">
            <w:pPr>
              <w:keepNext/>
              <w:keepLines/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</w:tcPr>
          <w:p w14:paraId="74AF0ED9" w14:textId="77777777" w:rsidR="006552A2" w:rsidRPr="007A4E6A" w:rsidRDefault="006552A2" w:rsidP="00EF511A">
            <w:pPr>
              <w:numPr>
                <w:ilvl w:val="0"/>
                <w:numId w:val="32"/>
              </w:numPr>
              <w:spacing w:before="100" w:after="40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Company functions and activities throughout the year</w:t>
            </w:r>
          </w:p>
          <w:p w14:paraId="7AD99C14" w14:textId="13A2E279" w:rsidR="006552A2" w:rsidRPr="007A4E6A" w:rsidRDefault="006552A2" w:rsidP="006651F4">
            <w:pPr>
              <w:numPr>
                <w:ilvl w:val="0"/>
                <w:numId w:val="32"/>
              </w:numPr>
              <w:spacing w:before="40" w:after="40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$6</w:t>
            </w:r>
            <w:r w:rsidR="00777E56" w:rsidRPr="007A4E6A">
              <w:rPr>
                <w:rFonts w:ascii="Arial" w:eastAsiaTheme="minorHAnsi" w:hAnsi="Arial" w:cs="Arial"/>
                <w:sz w:val="20"/>
                <w:szCs w:val="20"/>
              </w:rPr>
              <w:t>0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0 </w:t>
            </w:r>
            <w:r w:rsidR="00777E56" w:rsidRPr="007A4E6A">
              <w:rPr>
                <w:rFonts w:ascii="Arial" w:eastAsiaTheme="minorHAnsi" w:hAnsi="Arial" w:cs="Arial"/>
                <w:sz w:val="20"/>
                <w:szCs w:val="20"/>
              </w:rPr>
              <w:t>employee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777E56" w:rsidRPr="007A4E6A">
              <w:rPr>
                <w:rFonts w:ascii="Arial" w:eastAsiaTheme="minorHAnsi" w:hAnsi="Arial" w:cs="Arial"/>
                <w:sz w:val="20"/>
                <w:szCs w:val="20"/>
              </w:rPr>
              <w:t>r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eferral </w:t>
            </w:r>
            <w:r w:rsidR="00777E56" w:rsidRPr="007A4E6A">
              <w:rPr>
                <w:rFonts w:ascii="Arial" w:eastAsiaTheme="minorHAnsi" w:hAnsi="Arial" w:cs="Arial"/>
                <w:sz w:val="20"/>
                <w:szCs w:val="20"/>
              </w:rPr>
              <w:t>p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rogram</w:t>
            </w:r>
          </w:p>
          <w:p w14:paraId="5660F352" w14:textId="75883D05" w:rsidR="00777E56" w:rsidRPr="007A4E6A" w:rsidRDefault="00777E56" w:rsidP="006651F4">
            <w:pPr>
              <w:numPr>
                <w:ilvl w:val="0"/>
                <w:numId w:val="32"/>
              </w:numPr>
              <w:spacing w:before="40" w:after="40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8 paid hours (annually) for voluntary community service </w:t>
            </w:r>
          </w:p>
          <w:p w14:paraId="5B6A0195" w14:textId="5BAA66DD" w:rsidR="00777E56" w:rsidRPr="007A4E6A" w:rsidRDefault="00777E56" w:rsidP="006651F4">
            <w:pPr>
              <w:numPr>
                <w:ilvl w:val="0"/>
                <w:numId w:val="32"/>
              </w:numPr>
              <w:spacing w:before="40" w:after="40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$20 per week Maintenance tool allowance program</w:t>
            </w:r>
          </w:p>
          <w:p w14:paraId="0945B836" w14:textId="1F38F8CE" w:rsidR="006552A2" w:rsidRPr="007A4E6A" w:rsidRDefault="006552A2" w:rsidP="006651F4">
            <w:pPr>
              <w:numPr>
                <w:ilvl w:val="0"/>
                <w:numId w:val="32"/>
              </w:numPr>
              <w:spacing w:before="40" w:after="40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Financial planning services through </w:t>
            </w:r>
            <w:r w:rsidR="00611240" w:rsidRPr="007A4E6A">
              <w:rPr>
                <w:rFonts w:ascii="Arial" w:eastAsiaTheme="minorHAnsi" w:hAnsi="Arial" w:cs="Arial"/>
                <w:sz w:val="20"/>
                <w:szCs w:val="20"/>
              </w:rPr>
              <w:t>Alera Investment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 Advisors (CPC Paid)</w:t>
            </w:r>
          </w:p>
          <w:p w14:paraId="52B8965B" w14:textId="10849187" w:rsidR="006552A2" w:rsidRPr="007A4E6A" w:rsidRDefault="00457ACA" w:rsidP="006651F4">
            <w:pPr>
              <w:numPr>
                <w:ilvl w:val="0"/>
                <w:numId w:val="32"/>
              </w:numPr>
              <w:spacing w:before="40" w:after="4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Hearing Discount Program</w:t>
            </w:r>
            <w:r w:rsidR="006552A2"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 (</w:t>
            </w:r>
            <w:r w:rsidR="000010B3">
              <w:rPr>
                <w:rFonts w:ascii="Arial" w:eastAsiaTheme="minorHAnsi" w:hAnsi="Arial" w:cs="Arial"/>
                <w:sz w:val="20"/>
                <w:szCs w:val="20"/>
              </w:rPr>
              <w:t xml:space="preserve">Mutual of </w:t>
            </w:r>
            <w:r w:rsidR="00166E8C">
              <w:rPr>
                <w:rFonts w:ascii="Arial" w:eastAsiaTheme="minorHAnsi" w:hAnsi="Arial" w:cs="Arial"/>
                <w:sz w:val="20"/>
                <w:szCs w:val="20"/>
              </w:rPr>
              <w:t>Omaha</w:t>
            </w:r>
            <w:r w:rsidR="006552A2" w:rsidRPr="007A4E6A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  <w:p w14:paraId="3A11C4B6" w14:textId="1BB96371" w:rsidR="00BF4428" w:rsidRDefault="00BF4428" w:rsidP="006651F4">
            <w:pPr>
              <w:numPr>
                <w:ilvl w:val="0"/>
                <w:numId w:val="32"/>
              </w:numPr>
              <w:spacing w:before="40" w:after="40"/>
              <w:rPr>
                <w:rFonts w:ascii="Arial" w:eastAsiaTheme="minorHAnsi" w:hAnsi="Arial" w:cs="Arial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Travel </w:t>
            </w:r>
            <w:r w:rsidR="00457ACA">
              <w:rPr>
                <w:rFonts w:ascii="Arial" w:eastAsiaTheme="minorHAnsi" w:hAnsi="Arial" w:cs="Arial"/>
                <w:sz w:val="20"/>
                <w:szCs w:val="20"/>
              </w:rPr>
              <w:t>Assistance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 xml:space="preserve"> (</w:t>
            </w:r>
            <w:r w:rsidR="00166E8C">
              <w:rPr>
                <w:rFonts w:ascii="Arial" w:eastAsiaTheme="minorHAnsi" w:hAnsi="Arial" w:cs="Arial"/>
                <w:sz w:val="20"/>
                <w:szCs w:val="20"/>
              </w:rPr>
              <w:t>Mutual of Omaha</w:t>
            </w: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  <w:p w14:paraId="5A6B83A7" w14:textId="330A391B" w:rsidR="00457ACA" w:rsidRPr="007A4E6A" w:rsidRDefault="00457ACA" w:rsidP="006651F4">
            <w:pPr>
              <w:numPr>
                <w:ilvl w:val="0"/>
                <w:numId w:val="32"/>
              </w:numPr>
              <w:spacing w:before="40" w:after="4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Will Preparation Services (Mutual of Omaha)</w:t>
            </w:r>
          </w:p>
          <w:p w14:paraId="1F64BDD0" w14:textId="313F5EEA" w:rsidR="00777E56" w:rsidRPr="007A4E6A" w:rsidRDefault="00777E56" w:rsidP="006651F4">
            <w:pPr>
              <w:numPr>
                <w:ilvl w:val="0"/>
                <w:numId w:val="32"/>
              </w:numPr>
              <w:spacing w:before="40" w:after="40"/>
              <w:rPr>
                <w:rFonts w:ascii="Arial" w:eastAsiaTheme="minorHAnsi" w:hAnsi="Arial" w:cs="Arial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Safety footwear and eyewear reimbursement</w:t>
            </w:r>
          </w:p>
          <w:p w14:paraId="668CEA8F" w14:textId="6FFF1CA1" w:rsidR="007A4E6A" w:rsidRPr="007A4E6A" w:rsidRDefault="007A4E6A" w:rsidP="006651F4">
            <w:pPr>
              <w:numPr>
                <w:ilvl w:val="0"/>
                <w:numId w:val="32"/>
              </w:numPr>
              <w:spacing w:before="40" w:after="40"/>
              <w:rPr>
                <w:rFonts w:ascii="Arial" w:eastAsiaTheme="minorHAnsi" w:hAnsi="Arial" w:cs="Arial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Service recognition program</w:t>
            </w:r>
          </w:p>
          <w:p w14:paraId="0E6CF761" w14:textId="77777777" w:rsidR="006552A2" w:rsidRPr="007A4E6A" w:rsidRDefault="006552A2" w:rsidP="006651F4">
            <w:pPr>
              <w:numPr>
                <w:ilvl w:val="0"/>
                <w:numId w:val="32"/>
              </w:numPr>
              <w:spacing w:before="40" w:after="40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Payment for required continuing education credits to maintain certifications</w:t>
            </w:r>
          </w:p>
          <w:p w14:paraId="6A16B6F2" w14:textId="510C1BE5" w:rsidR="006552A2" w:rsidRPr="007A4E6A" w:rsidRDefault="006552A2" w:rsidP="006651F4">
            <w:pPr>
              <w:numPr>
                <w:ilvl w:val="0"/>
                <w:numId w:val="32"/>
              </w:num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7A4E6A">
              <w:rPr>
                <w:rFonts w:ascii="Arial" w:eastAsiaTheme="minorHAnsi" w:hAnsi="Arial" w:cs="Arial"/>
                <w:sz w:val="20"/>
                <w:szCs w:val="20"/>
              </w:rPr>
              <w:t>Payment for approved professional memberships, subscriptions, or activity fees</w:t>
            </w:r>
          </w:p>
        </w:tc>
      </w:tr>
    </w:tbl>
    <w:p w14:paraId="3259C028" w14:textId="71FAD2BB" w:rsidR="00280E97" w:rsidRPr="00EF511A" w:rsidRDefault="00280E97" w:rsidP="00280E9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</w:p>
    <w:p w14:paraId="5D317524" w14:textId="2AA80A76" w:rsidR="005230BA" w:rsidRPr="005230BA" w:rsidRDefault="005230BA" w:rsidP="00161D7A">
      <w:pPr>
        <w:spacing w:before="120"/>
        <w:ind w:left="-1166" w:right="-1080"/>
        <w:jc w:val="center"/>
        <w:rPr>
          <w:rFonts w:ascii="Arial" w:hAnsi="Arial" w:cs="Arial"/>
          <w:b/>
          <w:bCs/>
          <w:sz w:val="18"/>
          <w:szCs w:val="18"/>
        </w:rPr>
      </w:pPr>
      <w:r w:rsidRPr="005230BA">
        <w:rPr>
          <w:rFonts w:ascii="Arial" w:hAnsi="Arial" w:cs="Arial"/>
          <w:b/>
          <w:bCs/>
          <w:sz w:val="18"/>
          <w:szCs w:val="18"/>
        </w:rPr>
        <w:t>* This is not a complete description of benefits, exclusions</w:t>
      </w:r>
      <w:r>
        <w:rPr>
          <w:rFonts w:ascii="Arial" w:hAnsi="Arial" w:cs="Arial"/>
          <w:b/>
          <w:bCs/>
          <w:sz w:val="18"/>
          <w:szCs w:val="18"/>
        </w:rPr>
        <w:t>,</w:t>
      </w:r>
      <w:r w:rsidRPr="005230BA">
        <w:rPr>
          <w:rFonts w:ascii="Arial" w:hAnsi="Arial" w:cs="Arial"/>
          <w:b/>
          <w:bCs/>
          <w:sz w:val="18"/>
          <w:szCs w:val="18"/>
        </w:rPr>
        <w:t xml:space="preserve"> or limitations; benefit documents dictate levels of </w:t>
      </w:r>
      <w:proofErr w:type="gramStart"/>
      <w:r w:rsidRPr="005230BA">
        <w:rPr>
          <w:rFonts w:ascii="Arial" w:hAnsi="Arial" w:cs="Arial"/>
          <w:b/>
          <w:bCs/>
          <w:sz w:val="18"/>
          <w:szCs w:val="18"/>
        </w:rPr>
        <w:t>coverages</w:t>
      </w:r>
      <w:proofErr w:type="gramEnd"/>
      <w:r w:rsidRPr="005230BA">
        <w:rPr>
          <w:rFonts w:ascii="Arial" w:hAnsi="Arial" w:cs="Arial"/>
          <w:b/>
          <w:bCs/>
          <w:sz w:val="18"/>
          <w:szCs w:val="18"/>
        </w:rPr>
        <w:t>, etc.</w:t>
      </w:r>
    </w:p>
    <w:p w14:paraId="32CCCA92" w14:textId="77B9611E" w:rsidR="00306245" w:rsidRPr="00306245" w:rsidRDefault="00306245" w:rsidP="00D35523">
      <w:pPr>
        <w:ind w:left="-810" w:right="540"/>
        <w:rPr>
          <w:rFonts w:ascii="Arial" w:hAnsi="Arial" w:cs="Arial"/>
          <w:sz w:val="20"/>
          <w:szCs w:val="20"/>
        </w:rPr>
        <w:sectPr w:rsidR="00306245" w:rsidRPr="00306245" w:rsidSect="006552A2">
          <w:footerReference w:type="default" r:id="rId9"/>
          <w:headerReference w:type="first" r:id="rId10"/>
          <w:footerReference w:type="first" r:id="rId11"/>
          <w:pgSz w:w="12240" w:h="15840"/>
          <w:pgMar w:top="547" w:right="1800" w:bottom="907" w:left="1800" w:header="360" w:footer="432" w:gutter="0"/>
          <w:cols w:space="720"/>
          <w:titlePg/>
          <w:docGrid w:linePitch="360"/>
        </w:sectPr>
      </w:pPr>
    </w:p>
    <w:p w14:paraId="46A61A07" w14:textId="145182CA" w:rsidR="000F6457" w:rsidRDefault="000F6457" w:rsidP="00306245">
      <w:pPr>
        <w:ind w:right="-1080"/>
        <w:rPr>
          <w:rFonts w:ascii="Arial" w:hAnsi="Arial" w:cs="Arial"/>
          <w:sz w:val="2"/>
          <w:szCs w:val="2"/>
        </w:rPr>
      </w:pPr>
    </w:p>
    <w:sectPr w:rsidR="000F6457" w:rsidSect="00306245">
      <w:headerReference w:type="even" r:id="rId12"/>
      <w:headerReference w:type="default" r:id="rId13"/>
      <w:footerReference w:type="even" r:id="rId14"/>
      <w:type w:val="continuous"/>
      <w:pgSz w:w="12240" w:h="15840" w:code="1"/>
      <w:pgMar w:top="720" w:right="1800" w:bottom="907" w:left="180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6DCD4" w14:textId="77777777" w:rsidR="00864CE0" w:rsidRDefault="00864CE0" w:rsidP="00957432">
      <w:r>
        <w:separator/>
      </w:r>
    </w:p>
  </w:endnote>
  <w:endnote w:type="continuationSeparator" w:id="0">
    <w:p w14:paraId="5DE87FBE" w14:textId="77777777" w:rsidR="00864CE0" w:rsidRDefault="00864CE0" w:rsidP="0095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9ACB" w14:textId="7866E488" w:rsidR="00930ABF" w:rsidRPr="00463FB2" w:rsidRDefault="00930ABF" w:rsidP="00930ABF">
    <w:pPr>
      <w:ind w:left="-1080" w:right="-1080"/>
      <w:jc w:val="center"/>
      <w:rPr>
        <w:rFonts w:ascii="Arial" w:hAnsi="Arial" w:cs="Arial"/>
        <w:i/>
        <w:color w:val="00B050"/>
        <w:sz w:val="16"/>
        <w:szCs w:val="1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3DF699BC" w14:textId="77777777" w:rsidR="00C06579" w:rsidRPr="00463FB2" w:rsidRDefault="00C0657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A9496" w14:textId="77777777" w:rsidR="00930ABF" w:rsidRPr="00463FB2" w:rsidRDefault="00930ABF" w:rsidP="00930ABF">
    <w:pPr>
      <w:ind w:left="-1080" w:right="-1080"/>
      <w:jc w:val="center"/>
      <w:rPr>
        <w:rFonts w:ascii="Arial" w:hAnsi="Arial" w:cs="Arial"/>
        <w:i/>
        <w:color w:val="00B050"/>
        <w:sz w:val="16"/>
        <w:szCs w:val="1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463FB2">
      <w:rPr>
        <w:rFonts w:ascii="Arial" w:hAnsi="Arial" w:cs="Arial"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432D15" wp14:editId="672582BA">
              <wp:simplePos x="0" y="0"/>
              <wp:positionH relativeFrom="page">
                <wp:posOffset>344170</wp:posOffset>
              </wp:positionH>
              <wp:positionV relativeFrom="page">
                <wp:posOffset>9665970</wp:posOffset>
              </wp:positionV>
              <wp:extent cx="7077075" cy="2381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075" cy="238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30248C" w14:textId="5E43E927" w:rsidR="00930ABF" w:rsidRPr="00463FB2" w:rsidRDefault="00930ABF" w:rsidP="00930ABF">
                          <w:pPr>
                            <w:jc w:val="right"/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B050"/>
                              <w:sz w:val="16"/>
                              <w:szCs w:val="16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Please Print as Double-</w:t>
                          </w:r>
                          <w:r w:rsidRPr="00463FB2">
                            <w:rPr>
                              <w:rFonts w:ascii="Arial" w:hAnsi="Arial" w:cs="Arial"/>
                              <w:b/>
                              <w:i/>
                              <w:color w:val="00B050"/>
                              <w:sz w:val="16"/>
                              <w:szCs w:val="16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Sided                                                         </w:t>
                          </w:r>
                          <w:r w:rsidR="00611240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DC-</w:t>
                          </w:r>
                          <w:r w:rsidRPr="00463FB2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HR-0</w:t>
                          </w:r>
                          <w:r w:rsidR="00611240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0</w:t>
                          </w:r>
                          <w:r w:rsidR="00A929AE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3</w:t>
                          </w:r>
                          <w:r w:rsidRPr="00463FB2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(</w:t>
                          </w:r>
                          <w:r w:rsidR="008F6FAA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0</w:t>
                          </w:r>
                          <w:r w:rsidR="00F527BE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5</w:t>
                          </w:r>
                          <w:r w:rsidR="00611240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/</w:t>
                          </w:r>
                          <w:r w:rsidR="00752E46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01</w:t>
                          </w:r>
                          <w:r w:rsidRPr="00463FB2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/2</w:t>
                          </w:r>
                          <w:r w:rsidR="008F6FAA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5</w:t>
                          </w:r>
                          <w:r w:rsidRPr="00463FB2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2D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.1pt;margin-top:761.1pt;width:557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" fillcolor="window" stroked="f" strokeweight=".5pt">
              <v:textbox inset="0,,0">
                <w:txbxContent>
                  <w:p w14:paraId="3B30248C" w14:textId="5E43E927" w:rsidR="00930ABF" w:rsidRPr="00463FB2" w:rsidRDefault="00930ABF" w:rsidP="00930ABF">
                    <w:pPr>
                      <w:jc w:val="right"/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00B050"/>
                        <w:sz w:val="16"/>
                        <w:szCs w:val="16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Please Print as Double-</w:t>
                    </w:r>
                    <w:r w:rsidRPr="00463FB2">
                      <w:rPr>
                        <w:rFonts w:ascii="Arial" w:hAnsi="Arial" w:cs="Arial"/>
                        <w:b/>
                        <w:i/>
                        <w:color w:val="00B050"/>
                        <w:sz w:val="16"/>
                        <w:szCs w:val="16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Sided                                                         </w:t>
                    </w:r>
                    <w:r w:rsidR="00611240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DC-</w:t>
                    </w:r>
                    <w:r w:rsidRPr="00463FB2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HR-0</w:t>
                    </w:r>
                    <w:r w:rsidR="00611240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0</w:t>
                    </w:r>
                    <w:r w:rsidR="00A929AE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3</w:t>
                    </w:r>
                    <w:r w:rsidRPr="00463FB2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 xml:space="preserve"> (</w:t>
                    </w:r>
                    <w:r w:rsidR="008F6FAA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0</w:t>
                    </w:r>
                    <w:r w:rsidR="00F527BE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5</w:t>
                    </w:r>
                    <w:r w:rsidR="00611240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/</w:t>
                    </w:r>
                    <w:r w:rsidR="00752E46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01</w:t>
                    </w:r>
                    <w:r w:rsidRPr="00463FB2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/2</w:t>
                    </w:r>
                    <w:r w:rsidR="008F6FAA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5</w:t>
                    </w:r>
                    <w:r w:rsidRPr="00463FB2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63FB2">
      <w:rPr>
        <w:rFonts w:ascii="Arial" w:hAnsi="Arial" w:cs="Arial"/>
        <w:sz w:val="16"/>
        <w:szCs w:val="16"/>
      </w:rPr>
      <w:t>The information contained in this communication is confidential and to be used by CPC staff and representatives for only its intended purpose.</w:t>
    </w:r>
  </w:p>
  <w:p w14:paraId="0A8D70AD" w14:textId="77777777" w:rsidR="00930ABF" w:rsidRDefault="00930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EC13" w14:textId="77777777" w:rsidR="00D44D58" w:rsidRDefault="00D44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E8424" w14:textId="77777777" w:rsidR="00864CE0" w:rsidRDefault="00864CE0" w:rsidP="00957432">
      <w:r>
        <w:separator/>
      </w:r>
    </w:p>
  </w:footnote>
  <w:footnote w:type="continuationSeparator" w:id="0">
    <w:p w14:paraId="5263193C" w14:textId="77777777" w:rsidR="00864CE0" w:rsidRDefault="00864CE0" w:rsidP="0095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82DD9" w14:textId="7928188E" w:rsidR="0091683E" w:rsidRDefault="00E808B0" w:rsidP="006A6910">
    <w:pPr>
      <w:pStyle w:val="Header"/>
      <w:tabs>
        <w:tab w:val="clear" w:pos="4680"/>
        <w:tab w:val="clear" w:pos="9360"/>
        <w:tab w:val="left" w:pos="3420"/>
      </w:tabs>
      <w:spacing w:after="120"/>
      <w:ind w:left="-990" w:right="-1080"/>
      <w:rPr>
        <w:rStyle w:val="Strong"/>
        <w:rFonts w:ascii="Arial" w:hAnsi="Arial" w:cs="Arial"/>
      </w:rPr>
    </w:pPr>
    <w:r>
      <w:rPr>
        <w:rFonts w:ascii="Arial" w:hAnsi="Arial" w:cs="Arial"/>
        <w:color w:val="002654"/>
        <w:sz w:val="28"/>
        <w:szCs w:val="2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 xml:space="preserve"> </w:t>
    </w:r>
    <w:r w:rsidR="006A6910">
      <w:rPr>
        <w:noProof/>
      </w:rPr>
      <w:drawing>
        <wp:inline distT="0" distB="0" distL="0" distR="0" wp14:anchorId="585AC286" wp14:editId="0EF7DEE7">
          <wp:extent cx="638175" cy="640715"/>
          <wp:effectExtent l="0" t="0" r="9525" b="6985"/>
          <wp:docPr id="700660626" name="Picture 700660626" descr="A logo with text and a ha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660626" name="Picture 700660626" descr="A logo with text and a han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2654"/>
        <w:sz w:val="28"/>
        <w:szCs w:val="2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ab/>
    </w:r>
    <w:r>
      <w:rPr>
        <w:rFonts w:ascii="Arial" w:hAnsi="Arial" w:cs="Arial"/>
        <w:color w:val="002654"/>
        <w:sz w:val="28"/>
        <w:szCs w:val="2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ab/>
    </w:r>
    <w:r>
      <w:rPr>
        <w:rFonts w:ascii="Arial" w:hAnsi="Arial" w:cs="Arial"/>
        <w:color w:val="002654"/>
        <w:sz w:val="28"/>
        <w:szCs w:val="2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ab/>
    </w:r>
    <w:r>
      <w:rPr>
        <w:rFonts w:ascii="Arial" w:hAnsi="Arial" w:cs="Arial"/>
        <w:color w:val="002654"/>
        <w:sz w:val="28"/>
        <w:szCs w:val="2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ab/>
    </w:r>
    <w:r>
      <w:rPr>
        <w:rFonts w:ascii="Arial" w:hAnsi="Arial" w:cs="Arial"/>
        <w:color w:val="002654"/>
        <w:sz w:val="28"/>
        <w:szCs w:val="28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ab/>
    </w:r>
    <w:r w:rsidR="0091683E">
      <w:rPr>
        <w:rStyle w:val="Strong"/>
        <w:rFonts w:ascii="Arial" w:hAnsi="Arial" w:cs="Arial"/>
      </w:rPr>
      <w:t xml:space="preserve">            </w:t>
    </w:r>
    <w:r>
      <w:rPr>
        <w:rStyle w:val="Strong"/>
        <w:rFonts w:ascii="Arial" w:hAnsi="Arial" w:cs="Arial"/>
      </w:rPr>
      <w:t xml:space="preserve">      </w:t>
    </w:r>
    <w:r w:rsidR="006552A2">
      <w:rPr>
        <w:rStyle w:val="Strong"/>
        <w:rFonts w:ascii="Arial" w:hAnsi="Arial" w:cs="Arial"/>
      </w:rPr>
      <w:t>Benefit Summary (20</w:t>
    </w:r>
    <w:r w:rsidR="003126D8">
      <w:rPr>
        <w:rStyle w:val="Strong"/>
        <w:rFonts w:ascii="Arial" w:hAnsi="Arial" w:cs="Arial"/>
      </w:rPr>
      <w:t>25</w:t>
    </w:r>
    <w:r w:rsidR="006552A2">
      <w:rPr>
        <w:rStyle w:val="Strong"/>
        <w:rFonts w:ascii="Arial" w:hAnsi="Arial" w:cs="Arial"/>
      </w:rPr>
      <w:t>)</w:t>
    </w:r>
  </w:p>
  <w:p w14:paraId="37B38193" w14:textId="77777777" w:rsidR="0091683E" w:rsidRDefault="0091683E" w:rsidP="0091683E">
    <w:pPr>
      <w:pBdr>
        <w:bottom w:val="threeDEmboss" w:sz="24" w:space="1" w:color="auto"/>
      </w:pBdr>
      <w:ind w:left="-900" w:right="-1080"/>
      <w:rPr>
        <w:rFonts w:ascii="Arial Black" w:hAnsi="Arial Black"/>
        <w:sz w:val="4"/>
      </w:rPr>
    </w:pPr>
  </w:p>
  <w:p w14:paraId="0586C006" w14:textId="57A65895" w:rsidR="00930ABF" w:rsidRDefault="00930ABF" w:rsidP="00930ABF">
    <w:pPr>
      <w:pStyle w:val="Header"/>
      <w:tabs>
        <w:tab w:val="clear" w:pos="9360"/>
        <w:tab w:val="right" w:pos="9540"/>
      </w:tabs>
      <w:ind w:right="-54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774A" w14:textId="77777777" w:rsidR="00D44D58" w:rsidRPr="00D44D58" w:rsidRDefault="00D44D58" w:rsidP="00D44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0AB46" w14:textId="39DEEA1F" w:rsidR="00930ABF" w:rsidRPr="00D44D58" w:rsidRDefault="00930ABF" w:rsidP="00D44D5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8C8"/>
    <w:multiLevelType w:val="hybridMultilevel"/>
    <w:tmpl w:val="DAA45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5A5"/>
    <w:multiLevelType w:val="hybridMultilevel"/>
    <w:tmpl w:val="FEA49CC4"/>
    <w:lvl w:ilvl="0" w:tplc="0E761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4A0"/>
    <w:multiLevelType w:val="hybridMultilevel"/>
    <w:tmpl w:val="E0AE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6358"/>
    <w:multiLevelType w:val="hybridMultilevel"/>
    <w:tmpl w:val="1A5EC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03812"/>
    <w:multiLevelType w:val="singleLevel"/>
    <w:tmpl w:val="EA14A2C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D87319"/>
    <w:multiLevelType w:val="multilevel"/>
    <w:tmpl w:val="F966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40136"/>
    <w:multiLevelType w:val="singleLevel"/>
    <w:tmpl w:val="E59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7" w15:restartNumberingAfterBreak="0">
    <w:nsid w:val="181919DA"/>
    <w:multiLevelType w:val="multilevel"/>
    <w:tmpl w:val="3F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507C"/>
    <w:multiLevelType w:val="multilevel"/>
    <w:tmpl w:val="F9665A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73C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C3F572D"/>
    <w:multiLevelType w:val="hybridMultilevel"/>
    <w:tmpl w:val="419A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1513"/>
    <w:multiLevelType w:val="hybridMultilevel"/>
    <w:tmpl w:val="46BC0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C3DB8"/>
    <w:multiLevelType w:val="hybridMultilevel"/>
    <w:tmpl w:val="1FB4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81B9C"/>
    <w:multiLevelType w:val="hybridMultilevel"/>
    <w:tmpl w:val="ADD8B5F4"/>
    <w:lvl w:ilvl="0" w:tplc="350A1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7082F"/>
    <w:multiLevelType w:val="hybridMultilevel"/>
    <w:tmpl w:val="455C4086"/>
    <w:lvl w:ilvl="0" w:tplc="B240C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2742F"/>
    <w:multiLevelType w:val="hybridMultilevel"/>
    <w:tmpl w:val="F3E2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A44DE"/>
    <w:multiLevelType w:val="hybridMultilevel"/>
    <w:tmpl w:val="64E4EDEC"/>
    <w:lvl w:ilvl="0" w:tplc="3E103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255BD"/>
    <w:multiLevelType w:val="singleLevel"/>
    <w:tmpl w:val="E59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8" w15:restartNumberingAfterBreak="0">
    <w:nsid w:val="2ECB4C0D"/>
    <w:multiLevelType w:val="multilevel"/>
    <w:tmpl w:val="FB4E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AD4B15"/>
    <w:multiLevelType w:val="multilevel"/>
    <w:tmpl w:val="437A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F6CEE"/>
    <w:multiLevelType w:val="hybridMultilevel"/>
    <w:tmpl w:val="CF70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22CB7"/>
    <w:multiLevelType w:val="hybridMultilevel"/>
    <w:tmpl w:val="723CCFEA"/>
    <w:lvl w:ilvl="0" w:tplc="C00AB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56B1A"/>
    <w:multiLevelType w:val="hybridMultilevel"/>
    <w:tmpl w:val="B102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643"/>
    <w:multiLevelType w:val="hybridMultilevel"/>
    <w:tmpl w:val="78D89CF6"/>
    <w:lvl w:ilvl="0" w:tplc="FE6E7D46">
      <w:numFmt w:val="bullet"/>
      <w:lvlText w:val="-"/>
      <w:lvlJc w:val="left"/>
      <w:pPr>
        <w:ind w:left="756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447922B4"/>
    <w:multiLevelType w:val="multilevel"/>
    <w:tmpl w:val="F966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4647F"/>
    <w:multiLevelType w:val="hybridMultilevel"/>
    <w:tmpl w:val="78B66A1E"/>
    <w:lvl w:ilvl="0" w:tplc="392CC9E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747D2"/>
    <w:multiLevelType w:val="singleLevel"/>
    <w:tmpl w:val="18B66488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  <w:b w:val="0"/>
      </w:rPr>
    </w:lvl>
  </w:abstractNum>
  <w:abstractNum w:abstractNumId="27" w15:restartNumberingAfterBreak="0">
    <w:nsid w:val="475726F1"/>
    <w:multiLevelType w:val="hybridMultilevel"/>
    <w:tmpl w:val="2D22BB98"/>
    <w:lvl w:ilvl="0" w:tplc="350A1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B226F"/>
    <w:multiLevelType w:val="hybridMultilevel"/>
    <w:tmpl w:val="7B32AEE6"/>
    <w:lvl w:ilvl="0" w:tplc="350A1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D7B2E"/>
    <w:multiLevelType w:val="multilevel"/>
    <w:tmpl w:val="FB4E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543930"/>
    <w:multiLevelType w:val="singleLevel"/>
    <w:tmpl w:val="E59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31" w15:restartNumberingAfterBreak="0">
    <w:nsid w:val="64E73F5C"/>
    <w:multiLevelType w:val="hybridMultilevel"/>
    <w:tmpl w:val="500E9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01AE3"/>
    <w:multiLevelType w:val="multilevel"/>
    <w:tmpl w:val="6F3E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C902B7"/>
    <w:multiLevelType w:val="hybridMultilevel"/>
    <w:tmpl w:val="8EB40756"/>
    <w:lvl w:ilvl="0" w:tplc="E5963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0C44E3"/>
    <w:multiLevelType w:val="singleLevel"/>
    <w:tmpl w:val="E59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35" w15:restartNumberingAfterBreak="0">
    <w:nsid w:val="6EE46988"/>
    <w:multiLevelType w:val="multilevel"/>
    <w:tmpl w:val="B9C8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745286"/>
    <w:multiLevelType w:val="hybridMultilevel"/>
    <w:tmpl w:val="AE52F818"/>
    <w:lvl w:ilvl="0" w:tplc="350A1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B44D5"/>
    <w:multiLevelType w:val="singleLevel"/>
    <w:tmpl w:val="E59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38" w15:restartNumberingAfterBreak="0">
    <w:nsid w:val="7A683986"/>
    <w:multiLevelType w:val="hybridMultilevel"/>
    <w:tmpl w:val="2C0C30B0"/>
    <w:lvl w:ilvl="0" w:tplc="B240C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859FB"/>
    <w:multiLevelType w:val="hybridMultilevel"/>
    <w:tmpl w:val="369C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97825">
    <w:abstractNumId w:val="38"/>
  </w:num>
  <w:num w:numId="2" w16cid:durableId="382564048">
    <w:abstractNumId w:val="14"/>
  </w:num>
  <w:num w:numId="3" w16cid:durableId="1659845311">
    <w:abstractNumId w:val="22"/>
  </w:num>
  <w:num w:numId="4" w16cid:durableId="272785550">
    <w:abstractNumId w:val="12"/>
  </w:num>
  <w:num w:numId="5" w16cid:durableId="845940481">
    <w:abstractNumId w:val="3"/>
  </w:num>
  <w:num w:numId="6" w16cid:durableId="1920358942">
    <w:abstractNumId w:val="4"/>
  </w:num>
  <w:num w:numId="7" w16cid:durableId="969627706">
    <w:abstractNumId w:val="9"/>
  </w:num>
  <w:num w:numId="8" w16cid:durableId="75367205">
    <w:abstractNumId w:val="25"/>
  </w:num>
  <w:num w:numId="9" w16cid:durableId="544372479">
    <w:abstractNumId w:val="34"/>
  </w:num>
  <w:num w:numId="10" w16cid:durableId="1819489506">
    <w:abstractNumId w:val="37"/>
  </w:num>
  <w:num w:numId="11" w16cid:durableId="382751412">
    <w:abstractNumId w:val="6"/>
  </w:num>
  <w:num w:numId="12" w16cid:durableId="1856797415">
    <w:abstractNumId w:val="7"/>
  </w:num>
  <w:num w:numId="13" w16cid:durableId="962076679">
    <w:abstractNumId w:val="33"/>
  </w:num>
  <w:num w:numId="14" w16cid:durableId="138502094">
    <w:abstractNumId w:val="17"/>
  </w:num>
  <w:num w:numId="15" w16cid:durableId="325674007">
    <w:abstractNumId w:val="30"/>
  </w:num>
  <w:num w:numId="16" w16cid:durableId="247545988">
    <w:abstractNumId w:val="24"/>
  </w:num>
  <w:num w:numId="17" w16cid:durableId="1504129784">
    <w:abstractNumId w:val="8"/>
  </w:num>
  <w:num w:numId="18" w16cid:durableId="1723361339">
    <w:abstractNumId w:val="5"/>
  </w:num>
  <w:num w:numId="19" w16cid:durableId="721320650">
    <w:abstractNumId w:val="39"/>
  </w:num>
  <w:num w:numId="20" w16cid:durableId="1797407376">
    <w:abstractNumId w:val="29"/>
  </w:num>
  <w:num w:numId="21" w16cid:durableId="755787420">
    <w:abstractNumId w:val="19"/>
  </w:num>
  <w:num w:numId="22" w16cid:durableId="293750945">
    <w:abstractNumId w:val="35"/>
  </w:num>
  <w:num w:numId="23" w16cid:durableId="85462848">
    <w:abstractNumId w:val="32"/>
  </w:num>
  <w:num w:numId="24" w16cid:durableId="1101755888">
    <w:abstractNumId w:val="18"/>
  </w:num>
  <w:num w:numId="25" w16cid:durableId="1121804214">
    <w:abstractNumId w:val="11"/>
  </w:num>
  <w:num w:numId="26" w16cid:durableId="2108038233">
    <w:abstractNumId w:val="31"/>
  </w:num>
  <w:num w:numId="27" w16cid:durableId="355890134">
    <w:abstractNumId w:val="20"/>
  </w:num>
  <w:num w:numId="28" w16cid:durableId="478763572">
    <w:abstractNumId w:val="16"/>
  </w:num>
  <w:num w:numId="29" w16cid:durableId="323709407">
    <w:abstractNumId w:val="23"/>
  </w:num>
  <w:num w:numId="30" w16cid:durableId="1748259809">
    <w:abstractNumId w:val="0"/>
  </w:num>
  <w:num w:numId="31" w16cid:durableId="1589583057">
    <w:abstractNumId w:val="26"/>
  </w:num>
  <w:num w:numId="32" w16cid:durableId="1543858918">
    <w:abstractNumId w:val="21"/>
  </w:num>
  <w:num w:numId="33" w16cid:durableId="782113347">
    <w:abstractNumId w:val="15"/>
  </w:num>
  <w:num w:numId="34" w16cid:durableId="30880634">
    <w:abstractNumId w:val="1"/>
  </w:num>
  <w:num w:numId="35" w16cid:durableId="1273827887">
    <w:abstractNumId w:val="27"/>
  </w:num>
  <w:num w:numId="36" w16cid:durableId="1237783147">
    <w:abstractNumId w:val="2"/>
  </w:num>
  <w:num w:numId="37" w16cid:durableId="1355691001">
    <w:abstractNumId w:val="13"/>
  </w:num>
  <w:num w:numId="38" w16cid:durableId="414716761">
    <w:abstractNumId w:val="36"/>
  </w:num>
  <w:num w:numId="39" w16cid:durableId="1282762256">
    <w:abstractNumId w:val="28"/>
  </w:num>
  <w:num w:numId="40" w16cid:durableId="1076975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kkkozuOA09lTypOBjsyMZp0pTh794HYafc9TXqJUgkuis1fPA5vS4CKXmVelXJ67Wio4qnRB50U6ZBshkhKTA==" w:salt="eAjpdrIfDDH9AAzAjwWj+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32"/>
    <w:rsid w:val="000010B3"/>
    <w:rsid w:val="000346E9"/>
    <w:rsid w:val="000451CF"/>
    <w:rsid w:val="000569FA"/>
    <w:rsid w:val="00083437"/>
    <w:rsid w:val="000F5E60"/>
    <w:rsid w:val="000F6457"/>
    <w:rsid w:val="00134F21"/>
    <w:rsid w:val="0015754B"/>
    <w:rsid w:val="00161D7A"/>
    <w:rsid w:val="00166E8C"/>
    <w:rsid w:val="00171138"/>
    <w:rsid w:val="00175F90"/>
    <w:rsid w:val="00177050"/>
    <w:rsid w:val="00184AE9"/>
    <w:rsid w:val="001D0FEF"/>
    <w:rsid w:val="002022C7"/>
    <w:rsid w:val="002365F5"/>
    <w:rsid w:val="00246F1F"/>
    <w:rsid w:val="002506EB"/>
    <w:rsid w:val="00251D5E"/>
    <w:rsid w:val="0026089B"/>
    <w:rsid w:val="00280E97"/>
    <w:rsid w:val="002B3F41"/>
    <w:rsid w:val="002B443E"/>
    <w:rsid w:val="002D053E"/>
    <w:rsid w:val="002D22E5"/>
    <w:rsid w:val="002D39A2"/>
    <w:rsid w:val="002D7629"/>
    <w:rsid w:val="002E3303"/>
    <w:rsid w:val="002E44CB"/>
    <w:rsid w:val="002E618C"/>
    <w:rsid w:val="00306245"/>
    <w:rsid w:val="00310728"/>
    <w:rsid w:val="003109E8"/>
    <w:rsid w:val="003126D8"/>
    <w:rsid w:val="00321078"/>
    <w:rsid w:val="0032599A"/>
    <w:rsid w:val="00343CA8"/>
    <w:rsid w:val="00346D6E"/>
    <w:rsid w:val="00365F1B"/>
    <w:rsid w:val="003851B6"/>
    <w:rsid w:val="003A5FA2"/>
    <w:rsid w:val="003A7D66"/>
    <w:rsid w:val="003D344C"/>
    <w:rsid w:val="003E6872"/>
    <w:rsid w:val="003F27C6"/>
    <w:rsid w:val="003F4B6D"/>
    <w:rsid w:val="00416459"/>
    <w:rsid w:val="00423ADD"/>
    <w:rsid w:val="00427E5D"/>
    <w:rsid w:val="004474C0"/>
    <w:rsid w:val="00456B73"/>
    <w:rsid w:val="00457ACA"/>
    <w:rsid w:val="00463FB2"/>
    <w:rsid w:val="00472512"/>
    <w:rsid w:val="004874EC"/>
    <w:rsid w:val="004A22F1"/>
    <w:rsid w:val="004C1982"/>
    <w:rsid w:val="004C19D3"/>
    <w:rsid w:val="004D0AEE"/>
    <w:rsid w:val="004F554A"/>
    <w:rsid w:val="004F6C47"/>
    <w:rsid w:val="005167A5"/>
    <w:rsid w:val="005230BA"/>
    <w:rsid w:val="00534BB2"/>
    <w:rsid w:val="00541699"/>
    <w:rsid w:val="00544AF7"/>
    <w:rsid w:val="00580298"/>
    <w:rsid w:val="005823DD"/>
    <w:rsid w:val="00584EF9"/>
    <w:rsid w:val="005A4B00"/>
    <w:rsid w:val="005A7C12"/>
    <w:rsid w:val="005C183C"/>
    <w:rsid w:val="005F216B"/>
    <w:rsid w:val="005F3FE0"/>
    <w:rsid w:val="005F652B"/>
    <w:rsid w:val="005F7D29"/>
    <w:rsid w:val="00611240"/>
    <w:rsid w:val="00612C68"/>
    <w:rsid w:val="006146ED"/>
    <w:rsid w:val="0061781E"/>
    <w:rsid w:val="00620B3E"/>
    <w:rsid w:val="006552A2"/>
    <w:rsid w:val="00665110"/>
    <w:rsid w:val="006651F4"/>
    <w:rsid w:val="00665FFF"/>
    <w:rsid w:val="00666D69"/>
    <w:rsid w:val="00676215"/>
    <w:rsid w:val="00684388"/>
    <w:rsid w:val="00685869"/>
    <w:rsid w:val="006A6910"/>
    <w:rsid w:val="006A773E"/>
    <w:rsid w:val="006C221E"/>
    <w:rsid w:val="006D26A7"/>
    <w:rsid w:val="006D33DF"/>
    <w:rsid w:val="006F522B"/>
    <w:rsid w:val="006F7986"/>
    <w:rsid w:val="007052BB"/>
    <w:rsid w:val="00707753"/>
    <w:rsid w:val="0071268A"/>
    <w:rsid w:val="00733B9D"/>
    <w:rsid w:val="00752E46"/>
    <w:rsid w:val="00757E7D"/>
    <w:rsid w:val="00773B19"/>
    <w:rsid w:val="00777E56"/>
    <w:rsid w:val="00787FED"/>
    <w:rsid w:val="007911C4"/>
    <w:rsid w:val="00793BDD"/>
    <w:rsid w:val="007A4E6A"/>
    <w:rsid w:val="007A6C1C"/>
    <w:rsid w:val="007B0A4A"/>
    <w:rsid w:val="007B5E03"/>
    <w:rsid w:val="007F2F20"/>
    <w:rsid w:val="0081143A"/>
    <w:rsid w:val="00816C32"/>
    <w:rsid w:val="008459C0"/>
    <w:rsid w:val="008504BE"/>
    <w:rsid w:val="00852D88"/>
    <w:rsid w:val="00864CE0"/>
    <w:rsid w:val="0089277A"/>
    <w:rsid w:val="008E4BF9"/>
    <w:rsid w:val="008E530F"/>
    <w:rsid w:val="008F6FAA"/>
    <w:rsid w:val="0091683E"/>
    <w:rsid w:val="00921660"/>
    <w:rsid w:val="00930ABF"/>
    <w:rsid w:val="00933385"/>
    <w:rsid w:val="009334EB"/>
    <w:rsid w:val="00943426"/>
    <w:rsid w:val="00943706"/>
    <w:rsid w:val="00956800"/>
    <w:rsid w:val="00957432"/>
    <w:rsid w:val="009810DB"/>
    <w:rsid w:val="00983777"/>
    <w:rsid w:val="009C497C"/>
    <w:rsid w:val="009C60A5"/>
    <w:rsid w:val="009F263B"/>
    <w:rsid w:val="00A13E8A"/>
    <w:rsid w:val="00A455E6"/>
    <w:rsid w:val="00A677BF"/>
    <w:rsid w:val="00A71C7D"/>
    <w:rsid w:val="00A8374D"/>
    <w:rsid w:val="00A84346"/>
    <w:rsid w:val="00A8463D"/>
    <w:rsid w:val="00A929AE"/>
    <w:rsid w:val="00AA378D"/>
    <w:rsid w:val="00AA3D9C"/>
    <w:rsid w:val="00AA493B"/>
    <w:rsid w:val="00AC4F7D"/>
    <w:rsid w:val="00B068BD"/>
    <w:rsid w:val="00B15545"/>
    <w:rsid w:val="00B23FDE"/>
    <w:rsid w:val="00B311AF"/>
    <w:rsid w:val="00B444C0"/>
    <w:rsid w:val="00B52BFB"/>
    <w:rsid w:val="00B6177E"/>
    <w:rsid w:val="00B92A11"/>
    <w:rsid w:val="00B94DB1"/>
    <w:rsid w:val="00B96A63"/>
    <w:rsid w:val="00BB6F1A"/>
    <w:rsid w:val="00BC12E9"/>
    <w:rsid w:val="00BD28F9"/>
    <w:rsid w:val="00BD6BB2"/>
    <w:rsid w:val="00BE7779"/>
    <w:rsid w:val="00BF2C8B"/>
    <w:rsid w:val="00BF4428"/>
    <w:rsid w:val="00C06579"/>
    <w:rsid w:val="00C20282"/>
    <w:rsid w:val="00C56ACC"/>
    <w:rsid w:val="00C62EFD"/>
    <w:rsid w:val="00C76B1A"/>
    <w:rsid w:val="00CC4CCE"/>
    <w:rsid w:val="00CD4312"/>
    <w:rsid w:val="00D111AD"/>
    <w:rsid w:val="00D17467"/>
    <w:rsid w:val="00D265FD"/>
    <w:rsid w:val="00D31A46"/>
    <w:rsid w:val="00D35523"/>
    <w:rsid w:val="00D3569B"/>
    <w:rsid w:val="00D44510"/>
    <w:rsid w:val="00D44D58"/>
    <w:rsid w:val="00D6074D"/>
    <w:rsid w:val="00D6140A"/>
    <w:rsid w:val="00D85D9C"/>
    <w:rsid w:val="00DB269E"/>
    <w:rsid w:val="00DB7269"/>
    <w:rsid w:val="00DC496C"/>
    <w:rsid w:val="00DE2A7C"/>
    <w:rsid w:val="00E37E3C"/>
    <w:rsid w:val="00E808B0"/>
    <w:rsid w:val="00EA7084"/>
    <w:rsid w:val="00EB3CFC"/>
    <w:rsid w:val="00EC288B"/>
    <w:rsid w:val="00EC32FA"/>
    <w:rsid w:val="00EC3E06"/>
    <w:rsid w:val="00EE0CA5"/>
    <w:rsid w:val="00EE63E0"/>
    <w:rsid w:val="00EE7CBD"/>
    <w:rsid w:val="00EF511A"/>
    <w:rsid w:val="00F0666B"/>
    <w:rsid w:val="00F21F89"/>
    <w:rsid w:val="00F42FD4"/>
    <w:rsid w:val="00F527BE"/>
    <w:rsid w:val="00F8080F"/>
    <w:rsid w:val="00F929B4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042E8"/>
  <w15:docId w15:val="{AB8B96B0-EDB7-4D8B-8A1E-7B87F66D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F1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26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7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76B1A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7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74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32"/>
  </w:style>
  <w:style w:type="paragraph" w:styleId="Footer">
    <w:name w:val="footer"/>
    <w:basedOn w:val="Normal"/>
    <w:link w:val="FooterChar"/>
    <w:uiPriority w:val="99"/>
    <w:rsid w:val="0095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32"/>
  </w:style>
  <w:style w:type="character" w:styleId="PlaceholderText">
    <w:name w:val="Placeholder Text"/>
    <w:basedOn w:val="DefaultParagraphFont"/>
    <w:uiPriority w:val="99"/>
    <w:semiHidden/>
    <w:rsid w:val="00957432"/>
    <w:rPr>
      <w:color w:val="808080"/>
    </w:rPr>
  </w:style>
  <w:style w:type="table" w:styleId="TableGrid">
    <w:name w:val="Table Grid"/>
    <w:basedOn w:val="TableNormal"/>
    <w:uiPriority w:val="59"/>
    <w:rsid w:val="003A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46F1F"/>
    <w:rPr>
      <w:b/>
      <w:bCs/>
    </w:rPr>
  </w:style>
  <w:style w:type="paragraph" w:styleId="NormalWeb">
    <w:name w:val="Normal (Web)"/>
    <w:basedOn w:val="Normal"/>
    <w:uiPriority w:val="99"/>
    <w:rsid w:val="00246F1F"/>
    <w:pPr>
      <w:spacing w:before="100" w:beforeAutospacing="1" w:after="100" w:afterAutospacing="1"/>
    </w:pPr>
  </w:style>
  <w:style w:type="paragraph" w:styleId="BlockText">
    <w:name w:val="Block Text"/>
    <w:basedOn w:val="Normal"/>
    <w:unhideWhenUsed/>
    <w:rsid w:val="004874EC"/>
    <w:pPr>
      <w:ind w:left="1440" w:right="-72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C76B1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76B1A"/>
    <w:rPr>
      <w:sz w:val="24"/>
      <w:szCs w:val="20"/>
    </w:rPr>
  </w:style>
  <w:style w:type="paragraph" w:customStyle="1" w:styleId="Bullet">
    <w:name w:val="Bullet"/>
    <w:basedOn w:val="Normal"/>
    <w:rsid w:val="00C76B1A"/>
    <w:pPr>
      <w:numPr>
        <w:numId w:val="6"/>
      </w:numPr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6A7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D1746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265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80E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F4428"/>
    <w:rPr>
      <w:color w:val="800080" w:themeColor="followedHyperlink"/>
      <w:u w:val="single"/>
    </w:rPr>
  </w:style>
  <w:style w:type="table" w:styleId="MediumShading2-Accent2">
    <w:name w:val="Medium Shading 2 Accent 2"/>
    <w:basedOn w:val="TableNormal"/>
    <w:uiPriority w:val="64"/>
    <w:rsid w:val="00BB6F1A"/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rsid w:val="00F0666B"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F0666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americ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38DB-BB83-4596-87B2-0C06D201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TASC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Bielefeldt</dc:creator>
  <cp:lastModifiedBy>Steve Bielefeldt</cp:lastModifiedBy>
  <cp:revision>7</cp:revision>
  <cp:lastPrinted>2024-11-26T21:51:00Z</cp:lastPrinted>
  <dcterms:created xsi:type="dcterms:W3CDTF">2024-11-26T22:11:00Z</dcterms:created>
  <dcterms:modified xsi:type="dcterms:W3CDTF">2025-05-19T13:41:00Z</dcterms:modified>
</cp:coreProperties>
</file>